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A12D7F" w14:textId="2F561AA3" w:rsidR="00F14801" w:rsidRPr="00F247BB" w:rsidRDefault="00F14801" w:rsidP="00F14801">
      <w:pPr>
        <w:autoSpaceDE w:val="0"/>
        <w:autoSpaceDN w:val="0"/>
        <w:adjustRightInd w:val="0"/>
        <w:spacing w:after="0" w:line="240" w:lineRule="auto"/>
        <w:ind w:right="1701"/>
        <w:jc w:val="center"/>
        <w:rPr>
          <w:rFonts w:ascii="Candara" w:hAnsi="Candara" w:cs="ArialMT"/>
          <w:b/>
          <w:bCs/>
          <w:sz w:val="40"/>
          <w:szCs w:val="32"/>
        </w:rPr>
      </w:pPr>
      <w:r w:rsidRPr="00F247BB">
        <w:rPr>
          <w:rFonts w:ascii="Candara" w:hAnsi="Candara" w:cs="Arial"/>
          <w:b/>
          <w:bCs/>
          <w:color w:val="000000"/>
          <w:sz w:val="32"/>
          <w:szCs w:val="32"/>
          <w:shd w:val="clear" w:color="auto" w:fill="FFFFFF"/>
        </w:rPr>
        <w:t>Why choose British-Jamaican history between 1760 and 1870 as our coursework?</w:t>
      </w:r>
    </w:p>
    <w:p w14:paraId="177E988E" w14:textId="0AC1D8A7" w:rsidR="009E1EC0" w:rsidRPr="00F247BB" w:rsidRDefault="00F96C6E" w:rsidP="00E0653B">
      <w:pPr>
        <w:autoSpaceDE w:val="0"/>
        <w:autoSpaceDN w:val="0"/>
        <w:adjustRightInd w:val="0"/>
        <w:spacing w:after="0" w:line="240" w:lineRule="auto"/>
        <w:ind w:right="1701"/>
        <w:rPr>
          <w:rFonts w:ascii="Arial Narrow" w:hAnsi="Arial Narrow" w:cs="ArialMT"/>
        </w:rPr>
      </w:pPr>
      <w:proofErr w:type="gramStart"/>
      <w:r w:rsidRPr="00F247BB">
        <w:rPr>
          <w:rFonts w:ascii="Arial Narrow" w:hAnsi="Arial Narrow" w:cs="ArialMT"/>
          <w:b/>
          <w:bCs/>
        </w:rPr>
        <w:t>Task</w:t>
      </w:r>
      <w:r w:rsidR="001C4B33" w:rsidRPr="00F247BB">
        <w:rPr>
          <w:rFonts w:ascii="Arial Narrow" w:hAnsi="Arial Narrow" w:cs="ArialMT"/>
          <w:b/>
          <w:bCs/>
        </w:rPr>
        <w:t>s</w:t>
      </w:r>
      <w:r w:rsidRPr="00F247BB">
        <w:rPr>
          <w:rFonts w:ascii="Arial Narrow" w:hAnsi="Arial Narrow" w:cs="ArialMT"/>
        </w:rPr>
        <w:t xml:space="preserve"> :</w:t>
      </w:r>
      <w:proofErr w:type="gramEnd"/>
      <w:r w:rsidRPr="00F247BB">
        <w:rPr>
          <w:rFonts w:ascii="Arial Narrow" w:hAnsi="Arial Narrow" w:cs="ArialMT"/>
        </w:rPr>
        <w:t xml:space="preserve"> </w:t>
      </w:r>
    </w:p>
    <w:p w14:paraId="3B327466" w14:textId="77777777" w:rsidR="009E1EC0" w:rsidRPr="00F247BB" w:rsidRDefault="00F96C6E" w:rsidP="00E0653B">
      <w:pPr>
        <w:pStyle w:val="ListParagraph"/>
        <w:numPr>
          <w:ilvl w:val="0"/>
          <w:numId w:val="2"/>
        </w:numPr>
        <w:autoSpaceDE w:val="0"/>
        <w:autoSpaceDN w:val="0"/>
        <w:adjustRightInd w:val="0"/>
        <w:spacing w:after="0" w:line="240" w:lineRule="auto"/>
        <w:ind w:right="1701"/>
        <w:rPr>
          <w:rFonts w:ascii="Arial Narrow" w:hAnsi="Arial Narrow" w:cs="ArialMT"/>
        </w:rPr>
      </w:pPr>
      <w:r w:rsidRPr="00F247BB">
        <w:rPr>
          <w:rFonts w:ascii="Arial Narrow" w:hAnsi="Arial Narrow" w:cs="ArialMT"/>
        </w:rPr>
        <w:t xml:space="preserve">Whilst reading through this, underline or highlight anything that suggests </w:t>
      </w:r>
      <w:r w:rsidR="00034CE1" w:rsidRPr="00F247BB">
        <w:rPr>
          <w:rFonts w:ascii="Arial Narrow" w:hAnsi="Arial Narrow" w:cs="ArialMT"/>
        </w:rPr>
        <w:t xml:space="preserve">that this is </w:t>
      </w:r>
      <w:r w:rsidR="001C4B33" w:rsidRPr="00F247BB">
        <w:rPr>
          <w:rFonts w:ascii="Arial Narrow" w:hAnsi="Arial Narrow" w:cs="ArialMT"/>
        </w:rPr>
        <w:t xml:space="preserve">a </w:t>
      </w:r>
      <w:r w:rsidR="001C4B33" w:rsidRPr="00F247BB">
        <w:rPr>
          <w:rFonts w:ascii="Arial Narrow" w:hAnsi="Arial Narrow" w:cs="ArialMT"/>
          <w:i/>
          <w:iCs/>
        </w:rPr>
        <w:t>historically significant</w:t>
      </w:r>
      <w:r w:rsidR="001C4B33" w:rsidRPr="00F247BB">
        <w:rPr>
          <w:rFonts w:ascii="Arial Narrow" w:hAnsi="Arial Narrow" w:cs="ArialMT"/>
        </w:rPr>
        <w:t xml:space="preserve"> period from the past to be studying.</w:t>
      </w:r>
    </w:p>
    <w:p w14:paraId="5F1EE3FD" w14:textId="77777777" w:rsidR="00E0653B" w:rsidRPr="00F247BB" w:rsidRDefault="009E1EC0" w:rsidP="00E0653B">
      <w:pPr>
        <w:pStyle w:val="ListParagraph"/>
        <w:numPr>
          <w:ilvl w:val="0"/>
          <w:numId w:val="2"/>
        </w:numPr>
        <w:autoSpaceDE w:val="0"/>
        <w:autoSpaceDN w:val="0"/>
        <w:adjustRightInd w:val="0"/>
        <w:spacing w:after="0" w:line="240" w:lineRule="auto"/>
        <w:ind w:right="1701"/>
        <w:rPr>
          <w:rFonts w:ascii="Arial Narrow" w:hAnsi="Arial Narrow" w:cs="Arial-BoldMT"/>
        </w:rPr>
      </w:pPr>
      <w:r w:rsidRPr="00F247BB">
        <w:rPr>
          <w:rFonts w:ascii="Arial Narrow" w:hAnsi="Arial Narrow" w:cs="Arial-BoldMT"/>
        </w:rPr>
        <w:t xml:space="preserve">Consider </w:t>
      </w:r>
      <w:r w:rsidR="00C96EA9" w:rsidRPr="00F247BB">
        <w:rPr>
          <w:rFonts w:ascii="Arial Narrow" w:hAnsi="Arial Narrow" w:cs="Arial-BoldMT"/>
        </w:rPr>
        <w:t>if they match previous</w:t>
      </w:r>
      <w:r w:rsidRPr="00F247BB">
        <w:rPr>
          <w:rFonts w:ascii="Arial Narrow" w:hAnsi="Arial Narrow" w:cs="Arial-BoldMT"/>
        </w:rPr>
        <w:t xml:space="preserve"> criteria of historical significance</w:t>
      </w:r>
      <w:r w:rsidR="00C96EA9" w:rsidRPr="00F247BB">
        <w:rPr>
          <w:rFonts w:ascii="Arial Narrow" w:hAnsi="Arial Narrow" w:cs="Arial-BoldMT"/>
        </w:rPr>
        <w:t xml:space="preserve"> we’ve used or </w:t>
      </w:r>
      <w:r w:rsidR="00E0653B" w:rsidRPr="00F247BB">
        <w:rPr>
          <w:rFonts w:ascii="Arial Narrow" w:hAnsi="Arial Narrow" w:cs="Arial-BoldMT"/>
        </w:rPr>
        <w:t>there are any other criteria we need to create</w:t>
      </w:r>
      <w:r w:rsidR="00C96EA9" w:rsidRPr="00F247BB">
        <w:rPr>
          <w:rFonts w:ascii="Arial Narrow" w:hAnsi="Arial Narrow" w:cs="Arial-BoldMT"/>
        </w:rPr>
        <w:t>:</w:t>
      </w:r>
    </w:p>
    <w:p w14:paraId="62F8A02A" w14:textId="1A52F0F0" w:rsidR="00E0653B" w:rsidRPr="00F247BB" w:rsidRDefault="00F030A1" w:rsidP="00E0653B">
      <w:pPr>
        <w:pStyle w:val="ListParagraph"/>
        <w:numPr>
          <w:ilvl w:val="1"/>
          <w:numId w:val="3"/>
        </w:numPr>
        <w:autoSpaceDE w:val="0"/>
        <w:autoSpaceDN w:val="0"/>
        <w:adjustRightInd w:val="0"/>
        <w:spacing w:after="0" w:line="240" w:lineRule="auto"/>
        <w:ind w:right="1701"/>
        <w:rPr>
          <w:rFonts w:ascii="Arial Narrow" w:hAnsi="Arial Narrow" w:cs="Arial-BoldMT"/>
        </w:rPr>
      </w:pPr>
      <w:r w:rsidRPr="00F247BB">
        <w:rPr>
          <w:rFonts w:ascii="Arial Narrow" w:hAnsi="Arial Narrow" w:cs="Arial-BoldMT"/>
          <w:b/>
          <w:bCs/>
        </w:rPr>
        <w:t>Geography</w:t>
      </w:r>
      <w:r w:rsidR="00686D7D" w:rsidRPr="00F247BB">
        <w:rPr>
          <w:rFonts w:ascii="Arial Narrow" w:hAnsi="Arial Narrow" w:cs="Arial-BoldMT"/>
        </w:rPr>
        <w:t xml:space="preserve"> – it had a wide, even global significance.</w:t>
      </w:r>
    </w:p>
    <w:p w14:paraId="2D3FACD5" w14:textId="3ED11583" w:rsidR="00F030A1" w:rsidRPr="00F247BB" w:rsidRDefault="00F030A1" w:rsidP="00E0653B">
      <w:pPr>
        <w:pStyle w:val="ListParagraph"/>
        <w:numPr>
          <w:ilvl w:val="1"/>
          <w:numId w:val="3"/>
        </w:numPr>
        <w:autoSpaceDE w:val="0"/>
        <w:autoSpaceDN w:val="0"/>
        <w:adjustRightInd w:val="0"/>
        <w:spacing w:after="0" w:line="240" w:lineRule="auto"/>
        <w:ind w:right="1701"/>
        <w:rPr>
          <w:rFonts w:ascii="Arial Narrow" w:hAnsi="Arial Narrow" w:cs="Arial-BoldMT"/>
        </w:rPr>
      </w:pPr>
      <w:r w:rsidRPr="00F247BB">
        <w:rPr>
          <w:rFonts w:ascii="Arial Narrow" w:hAnsi="Arial Narrow" w:cs="Arial-BoldMT"/>
          <w:b/>
          <w:bCs/>
        </w:rPr>
        <w:t>Population</w:t>
      </w:r>
      <w:r w:rsidRPr="00F247BB">
        <w:rPr>
          <w:rFonts w:ascii="Arial Narrow" w:hAnsi="Arial Narrow" w:cs="Arial-BoldMT"/>
        </w:rPr>
        <w:t xml:space="preserve"> (</w:t>
      </w:r>
      <w:r w:rsidR="00C96EA9" w:rsidRPr="00F247BB">
        <w:rPr>
          <w:rFonts w:ascii="Arial Narrow" w:hAnsi="Arial Narrow" w:cs="Arial-BoldMT"/>
        </w:rPr>
        <w:t>widely spread?</w:t>
      </w:r>
      <w:r w:rsidRPr="00F247BB">
        <w:rPr>
          <w:rFonts w:ascii="Arial Narrow" w:hAnsi="Arial Narrow" w:cs="Arial-BoldMT"/>
        </w:rPr>
        <w:t>)</w:t>
      </w:r>
      <w:r w:rsidR="00686D7D" w:rsidRPr="00F247BB">
        <w:rPr>
          <w:rFonts w:ascii="Arial Narrow" w:hAnsi="Arial Narrow" w:cs="Arial-BoldMT"/>
        </w:rPr>
        <w:t xml:space="preserve"> – it impacted more than a small group of people.</w:t>
      </w:r>
    </w:p>
    <w:p w14:paraId="7ED63F6B" w14:textId="6A2730BB" w:rsidR="00F030A1" w:rsidRPr="00F247BB" w:rsidRDefault="00F030A1" w:rsidP="00E0653B">
      <w:pPr>
        <w:pStyle w:val="ListParagraph"/>
        <w:numPr>
          <w:ilvl w:val="1"/>
          <w:numId w:val="3"/>
        </w:numPr>
        <w:autoSpaceDE w:val="0"/>
        <w:autoSpaceDN w:val="0"/>
        <w:adjustRightInd w:val="0"/>
        <w:spacing w:after="0" w:line="240" w:lineRule="auto"/>
        <w:ind w:right="1701"/>
        <w:rPr>
          <w:rFonts w:ascii="Arial Narrow" w:hAnsi="Arial Narrow" w:cs="Arial-BoldMT"/>
        </w:rPr>
      </w:pPr>
      <w:r w:rsidRPr="00F247BB">
        <w:rPr>
          <w:rFonts w:ascii="Arial Narrow" w:hAnsi="Arial Narrow" w:cs="Arial-BoldMT"/>
          <w:b/>
          <w:bCs/>
        </w:rPr>
        <w:t>Lasting impact/ Legacy</w:t>
      </w:r>
      <w:r w:rsidR="00686D7D" w:rsidRPr="00F247BB">
        <w:rPr>
          <w:rFonts w:ascii="Arial Narrow" w:hAnsi="Arial Narrow" w:cs="Arial-BoldMT"/>
        </w:rPr>
        <w:t xml:space="preserve"> – it’s consequences and impact lasted a long while/ are still with us today.</w:t>
      </w:r>
    </w:p>
    <w:p w14:paraId="7C4BD61E" w14:textId="65F4CF3B" w:rsidR="00F030A1" w:rsidRPr="00F247BB" w:rsidRDefault="00F030A1" w:rsidP="00E0653B">
      <w:pPr>
        <w:pStyle w:val="ListParagraph"/>
        <w:numPr>
          <w:ilvl w:val="1"/>
          <w:numId w:val="3"/>
        </w:numPr>
        <w:autoSpaceDE w:val="0"/>
        <w:autoSpaceDN w:val="0"/>
        <w:adjustRightInd w:val="0"/>
        <w:spacing w:after="0" w:line="240" w:lineRule="auto"/>
        <w:ind w:right="1701"/>
        <w:rPr>
          <w:rFonts w:ascii="Arial Narrow" w:hAnsi="Arial Narrow" w:cs="Arial-BoldMT"/>
        </w:rPr>
      </w:pPr>
      <w:r w:rsidRPr="00F247BB">
        <w:rPr>
          <w:rFonts w:ascii="Arial Narrow" w:hAnsi="Arial Narrow" w:cs="Arial-BoldMT"/>
          <w:b/>
          <w:bCs/>
        </w:rPr>
        <w:t>Other changes caused</w:t>
      </w:r>
      <w:r w:rsidR="00686D7D" w:rsidRPr="00F247BB">
        <w:rPr>
          <w:rFonts w:ascii="Arial Narrow" w:hAnsi="Arial Narrow" w:cs="Arial-BoldMT"/>
        </w:rPr>
        <w:t xml:space="preserve"> – it caused other significant changes</w:t>
      </w:r>
      <w:r w:rsidR="00FC180A" w:rsidRPr="00F247BB">
        <w:rPr>
          <w:rFonts w:ascii="Arial Narrow" w:hAnsi="Arial Narrow" w:cs="Arial-BoldMT"/>
        </w:rPr>
        <w:t xml:space="preserve"> to occur.</w:t>
      </w:r>
    </w:p>
    <w:p w14:paraId="04622C9F" w14:textId="4DFD0DD2" w:rsidR="00F030A1" w:rsidRPr="00F247BB" w:rsidRDefault="00F030A1" w:rsidP="00E0653B">
      <w:pPr>
        <w:pStyle w:val="ListParagraph"/>
        <w:numPr>
          <w:ilvl w:val="1"/>
          <w:numId w:val="3"/>
        </w:numPr>
        <w:autoSpaceDE w:val="0"/>
        <w:autoSpaceDN w:val="0"/>
        <w:adjustRightInd w:val="0"/>
        <w:spacing w:after="0" w:line="240" w:lineRule="auto"/>
        <w:ind w:right="1701"/>
        <w:rPr>
          <w:rFonts w:ascii="Arial Narrow" w:hAnsi="Arial Narrow" w:cs="Arial-BoldMT"/>
        </w:rPr>
      </w:pPr>
      <w:r w:rsidRPr="00F247BB">
        <w:rPr>
          <w:rFonts w:ascii="Arial Narrow" w:hAnsi="Arial Narrow" w:cs="Arial-BoldMT"/>
          <w:b/>
          <w:bCs/>
        </w:rPr>
        <w:t>Thinking</w:t>
      </w:r>
      <w:r w:rsidR="00FC180A" w:rsidRPr="00F247BB">
        <w:rPr>
          <w:rFonts w:ascii="Arial Narrow" w:hAnsi="Arial Narrow" w:cs="Arial-BoldMT"/>
        </w:rPr>
        <w:t xml:space="preserve"> – it caused a fundamental change in the way people saw </w:t>
      </w:r>
      <w:r w:rsidR="00874CDE" w:rsidRPr="00F247BB">
        <w:rPr>
          <w:rFonts w:ascii="Arial Narrow" w:hAnsi="Arial Narrow" w:cs="Arial-BoldMT"/>
        </w:rPr>
        <w:t xml:space="preserve">themselves and the world. </w:t>
      </w:r>
    </w:p>
    <w:p w14:paraId="3A02BE59" w14:textId="64CA7D5A" w:rsidR="001C4B33" w:rsidRPr="00F247BB" w:rsidRDefault="00F030A1" w:rsidP="00E0653B">
      <w:pPr>
        <w:pStyle w:val="ListParagraph"/>
        <w:numPr>
          <w:ilvl w:val="1"/>
          <w:numId w:val="3"/>
        </w:numPr>
        <w:autoSpaceDE w:val="0"/>
        <w:autoSpaceDN w:val="0"/>
        <w:adjustRightInd w:val="0"/>
        <w:spacing w:after="0" w:line="240" w:lineRule="auto"/>
        <w:ind w:right="1701"/>
        <w:rPr>
          <w:rFonts w:ascii="Arial Narrow" w:hAnsi="Arial Narrow" w:cs="Arial-BoldMT"/>
        </w:rPr>
      </w:pPr>
      <w:r w:rsidRPr="00F247BB">
        <w:rPr>
          <w:rFonts w:ascii="Arial Narrow" w:hAnsi="Arial Narrow" w:cs="Arial-BoldMT"/>
          <w:b/>
          <w:bCs/>
        </w:rPr>
        <w:t>Other</w:t>
      </w:r>
      <w:r w:rsidR="00E0653B" w:rsidRPr="00F247BB">
        <w:rPr>
          <w:rFonts w:ascii="Arial Narrow" w:hAnsi="Arial Narrow" w:cs="Arial-BoldMT"/>
          <w:b/>
          <w:bCs/>
        </w:rPr>
        <w:t>?</w:t>
      </w:r>
      <w:r w:rsidR="00FC180A" w:rsidRPr="00F247BB">
        <w:rPr>
          <w:rFonts w:ascii="Arial Narrow" w:hAnsi="Arial Narrow" w:cs="Arial-BoldMT"/>
        </w:rPr>
        <w:t xml:space="preserve"> – Are there any other justifications for the claim that it was a significant moment in the past?</w:t>
      </w:r>
    </w:p>
    <w:p w14:paraId="22E2AE17" w14:textId="292181AD" w:rsidR="009E1EC0" w:rsidRPr="00F247BB" w:rsidRDefault="009E1EC0" w:rsidP="00522A13">
      <w:pPr>
        <w:autoSpaceDE w:val="0"/>
        <w:autoSpaceDN w:val="0"/>
        <w:adjustRightInd w:val="0"/>
        <w:spacing w:after="0" w:line="240" w:lineRule="auto"/>
        <w:ind w:right="1701"/>
        <w:rPr>
          <w:rFonts w:ascii="Candara" w:hAnsi="Candara" w:cs="Arial-BoldMT"/>
          <w:sz w:val="20"/>
          <w:szCs w:val="20"/>
        </w:rPr>
      </w:pPr>
    </w:p>
    <w:p w14:paraId="5D4A3E25" w14:textId="77777777" w:rsidR="00E0653B" w:rsidRPr="00F247BB" w:rsidRDefault="00E0653B" w:rsidP="00E0653B">
      <w:pPr>
        <w:autoSpaceDE w:val="0"/>
        <w:autoSpaceDN w:val="0"/>
        <w:adjustRightInd w:val="0"/>
        <w:spacing w:after="0" w:line="240" w:lineRule="auto"/>
        <w:ind w:right="1701"/>
        <w:rPr>
          <w:rFonts w:ascii="Candara" w:hAnsi="Candara" w:cs="Arial-BoldMT"/>
          <w:b/>
          <w:bCs/>
          <w:szCs w:val="20"/>
        </w:rPr>
      </w:pPr>
    </w:p>
    <w:p w14:paraId="7D5AE911" w14:textId="5829F935" w:rsidR="00E0653B" w:rsidRPr="00F247BB" w:rsidRDefault="00E0653B" w:rsidP="00E0653B">
      <w:pPr>
        <w:autoSpaceDE w:val="0"/>
        <w:autoSpaceDN w:val="0"/>
        <w:adjustRightInd w:val="0"/>
        <w:spacing w:after="0" w:line="240" w:lineRule="auto"/>
        <w:ind w:right="1701"/>
        <w:rPr>
          <w:rFonts w:ascii="Candara" w:hAnsi="Candara" w:cs="Arial-BoldMT"/>
          <w:b/>
          <w:bCs/>
          <w:szCs w:val="20"/>
        </w:rPr>
      </w:pPr>
      <w:r w:rsidRPr="00F247BB">
        <w:rPr>
          <w:rFonts w:ascii="Candara" w:hAnsi="Candara" w:cs="Arial-BoldMT"/>
          <w:b/>
          <w:bCs/>
          <w:szCs w:val="20"/>
        </w:rPr>
        <w:t>Working principles for the Historical Association Teacher Fellowship on Britain and transatlantic slavery</w:t>
      </w:r>
    </w:p>
    <w:p w14:paraId="23AC2F82" w14:textId="77777777" w:rsidR="00E0653B" w:rsidRPr="00F247BB" w:rsidRDefault="00E0653B" w:rsidP="00E0653B">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The following set of fourteen principles has been drawn up by a set of teachers who care so much about improving the teaching of Slavery they’ve spent their lives trying to do it better.</w:t>
      </w:r>
    </w:p>
    <w:p w14:paraId="057890E2" w14:textId="77777777" w:rsidR="00E0653B" w:rsidRPr="00F247BB" w:rsidRDefault="00E0653B" w:rsidP="00522A13">
      <w:pPr>
        <w:autoSpaceDE w:val="0"/>
        <w:autoSpaceDN w:val="0"/>
        <w:adjustRightInd w:val="0"/>
        <w:spacing w:after="0" w:line="240" w:lineRule="auto"/>
        <w:ind w:right="1701"/>
        <w:rPr>
          <w:rFonts w:ascii="Candara" w:hAnsi="Candara" w:cs="Arial-BoldMT"/>
          <w:sz w:val="20"/>
          <w:szCs w:val="20"/>
        </w:rPr>
      </w:pPr>
    </w:p>
    <w:p w14:paraId="421931EC" w14:textId="5309CCCD"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1. </w:t>
      </w:r>
      <w:r w:rsidRPr="00F247BB">
        <w:rPr>
          <w:rFonts w:ascii="Candara" w:hAnsi="Candara" w:cs="Arial-BoldItalicMT"/>
          <w:b/>
          <w:bCs/>
          <w:i/>
          <w:iCs/>
          <w:sz w:val="20"/>
          <w:szCs w:val="20"/>
        </w:rPr>
        <w:t>Race</w:t>
      </w:r>
    </w:p>
    <w:p w14:paraId="5B9D11C2"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The emergence of racial language and thought, in terms of the construction of both</w:t>
      </w:r>
    </w:p>
    <w:p w14:paraId="33BF3650"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whiteness and blackness, should be considered in relation to both transatlantic slavery and more broadly the development of empire and colonialism. You should consider the place of race in the functional operations of transatlantic slavery, as well as its role in debates over its dismantling.</w:t>
      </w:r>
    </w:p>
    <w:p w14:paraId="4993780C"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bookmarkStart w:id="0" w:name="_GoBack"/>
      <w:bookmarkEnd w:id="0"/>
    </w:p>
    <w:p w14:paraId="39714E29"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2. </w:t>
      </w:r>
      <w:r w:rsidRPr="00F247BB">
        <w:rPr>
          <w:rFonts w:ascii="Candara" w:hAnsi="Candara" w:cs="Arial-BoldItalicMT"/>
          <w:b/>
          <w:bCs/>
          <w:i/>
          <w:iCs/>
          <w:sz w:val="20"/>
          <w:szCs w:val="20"/>
        </w:rPr>
        <w:t>Africa and Africans</w:t>
      </w:r>
    </w:p>
    <w:p w14:paraId="4AD040A7"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African culture and civilization existed before and after transatlantic slavery and colonialism. You should consider the existence of complex cultural, social and economic systems within the continent prior to European contact.</w:t>
      </w:r>
    </w:p>
    <w:p w14:paraId="324D24A1"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p>
    <w:p w14:paraId="548305C9"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3. </w:t>
      </w:r>
      <w:r w:rsidRPr="00F247BB">
        <w:rPr>
          <w:rFonts w:ascii="Candara" w:hAnsi="Candara" w:cs="Arial-BoldItalicMT"/>
          <w:b/>
          <w:bCs/>
          <w:i/>
          <w:iCs/>
          <w:sz w:val="20"/>
          <w:szCs w:val="20"/>
        </w:rPr>
        <w:t>Mass commercialisation</w:t>
      </w:r>
    </w:p>
    <w:p w14:paraId="4181CCEE" w14:textId="77777777" w:rsidR="00522A13"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 xml:space="preserve">Forms of enslavement existed in Africa prior to European contact; transatlantic slavery industrialised the trade, transforming it into a trans-continental system. You should consider the wider slave economy including the slave trade, plantation ownership, finance, insurance, and the trade in slave-produced commodities in order </w:t>
      </w:r>
    </w:p>
    <w:p w14:paraId="2B9FA94B"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 xml:space="preserve">to understand the centrality of </w:t>
      </w:r>
      <w:proofErr w:type="spellStart"/>
      <w:r w:rsidRPr="00F247BB">
        <w:rPr>
          <w:rFonts w:ascii="Candara" w:hAnsi="Candara" w:cs="ArialMT"/>
          <w:sz w:val="20"/>
          <w:szCs w:val="20"/>
        </w:rPr>
        <w:t>slavebased</w:t>
      </w:r>
      <w:proofErr w:type="spellEnd"/>
      <w:r w:rsidRPr="00F247BB">
        <w:rPr>
          <w:rFonts w:ascii="Candara" w:hAnsi="Candara" w:cs="ArialMT"/>
          <w:sz w:val="20"/>
          <w:szCs w:val="20"/>
        </w:rPr>
        <w:t xml:space="preserve"> wealth to the prosperity of Britain.</w:t>
      </w:r>
    </w:p>
    <w:p w14:paraId="272E6C21"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p>
    <w:p w14:paraId="3AF6E536"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4. </w:t>
      </w:r>
      <w:r w:rsidRPr="00F247BB">
        <w:rPr>
          <w:rFonts w:ascii="Candara" w:hAnsi="Candara" w:cs="Arial-BoldItalicMT"/>
          <w:b/>
          <w:bCs/>
          <w:i/>
          <w:iCs/>
          <w:sz w:val="20"/>
          <w:szCs w:val="20"/>
        </w:rPr>
        <w:t>Terror and violence</w:t>
      </w:r>
    </w:p>
    <w:p w14:paraId="2CC41D70"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Violence was central to the system of transatlantic slavery. It was a fundamental form of control and punishment that was built on existing notions of frightfulness, such as torture and capital punishments. You should consider the ways in which violence and terror was a gendered experience, paying careful attention to the double oppression experienced by women.</w:t>
      </w:r>
    </w:p>
    <w:p w14:paraId="7AAA1CD6"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p>
    <w:p w14:paraId="6B21450F"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5. </w:t>
      </w:r>
      <w:r w:rsidRPr="00F247BB">
        <w:rPr>
          <w:rFonts w:ascii="Candara" w:hAnsi="Candara" w:cs="Arial-BoldItalicMT"/>
          <w:b/>
          <w:bCs/>
          <w:i/>
          <w:iCs/>
          <w:sz w:val="20"/>
          <w:szCs w:val="20"/>
        </w:rPr>
        <w:t>Resistance</w:t>
      </w:r>
    </w:p>
    <w:p w14:paraId="76635272"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lastRenderedPageBreak/>
        <w:t>Enslaved people resisted their enslavement in both revolutionary and everyday ways. Resistance began from the moment of capture and continued on the slave ships, as well as within the Caribbean. You should consider different forms of resistance from individual to collective action.</w:t>
      </w:r>
    </w:p>
    <w:p w14:paraId="5B5EE54F"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p>
    <w:p w14:paraId="628FF851"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6. </w:t>
      </w:r>
      <w:r w:rsidRPr="00F247BB">
        <w:rPr>
          <w:rFonts w:ascii="Candara" w:hAnsi="Candara" w:cs="Arial-BoldItalicMT"/>
          <w:b/>
          <w:bCs/>
          <w:i/>
          <w:iCs/>
          <w:sz w:val="20"/>
          <w:szCs w:val="20"/>
        </w:rPr>
        <w:t>Abolition</w:t>
      </w:r>
    </w:p>
    <w:p w14:paraId="4836157D"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The abolition of transatlantic slavery must be placed in the context of economic and social change in Britain. You should consider the role of mass mobilization of the public, women, and African abolitionists in Britain, as well as the parliamentary campaign. The impact of resistance of the enslaved in the Caribbean should form an equal part of the discussion of antislavery.</w:t>
      </w:r>
    </w:p>
    <w:p w14:paraId="5DE342FC"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p>
    <w:p w14:paraId="728DB0EF"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7. </w:t>
      </w:r>
      <w:r w:rsidRPr="00F247BB">
        <w:rPr>
          <w:rFonts w:ascii="Candara" w:hAnsi="Candara" w:cs="Arial-BoldItalicMT"/>
          <w:b/>
          <w:bCs/>
          <w:i/>
          <w:iCs/>
          <w:sz w:val="20"/>
          <w:szCs w:val="20"/>
        </w:rPr>
        <w:t>Legacies</w:t>
      </w:r>
    </w:p>
    <w:p w14:paraId="40C9B689"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The history of transatlantic slavery links Africa, the Caribbean, North America, and Britain. Its impacts were felt at a local, national, and global level and they continue to shape the world today. You should consider the legacies of transatlantic slavery in terms of culture, society, politics and the economy in order to understand their role in the development of modern Britain.</w:t>
      </w:r>
    </w:p>
    <w:p w14:paraId="156C8D66" w14:textId="77777777" w:rsidR="00F71B0C" w:rsidRPr="00F247BB" w:rsidRDefault="00F71B0C" w:rsidP="00522A13">
      <w:pPr>
        <w:autoSpaceDE w:val="0"/>
        <w:autoSpaceDN w:val="0"/>
        <w:adjustRightInd w:val="0"/>
        <w:spacing w:after="0" w:line="240" w:lineRule="auto"/>
        <w:ind w:right="1701"/>
        <w:rPr>
          <w:rFonts w:ascii="Candara" w:hAnsi="Candara" w:cs="Arial-ItalicMT"/>
          <w:i/>
          <w:iCs/>
          <w:sz w:val="20"/>
          <w:szCs w:val="20"/>
        </w:rPr>
      </w:pPr>
    </w:p>
    <w:p w14:paraId="00793D8D" w14:textId="77777777" w:rsidR="00F71B0C" w:rsidRPr="00F247BB" w:rsidRDefault="00F71B0C" w:rsidP="00522A13">
      <w:pPr>
        <w:autoSpaceDE w:val="0"/>
        <w:autoSpaceDN w:val="0"/>
        <w:adjustRightInd w:val="0"/>
        <w:spacing w:after="0" w:line="240" w:lineRule="auto"/>
        <w:ind w:right="1701"/>
        <w:rPr>
          <w:rFonts w:ascii="Candara" w:hAnsi="Candara" w:cs="Arial-ItalicMT"/>
          <w:i/>
          <w:iCs/>
          <w:sz w:val="20"/>
          <w:szCs w:val="20"/>
        </w:rPr>
      </w:pPr>
      <w:r w:rsidRPr="00F247BB">
        <w:rPr>
          <w:rFonts w:ascii="Candara" w:hAnsi="Candara" w:cs="Arial-ItalicMT"/>
          <w:i/>
          <w:iCs/>
          <w:sz w:val="20"/>
          <w:szCs w:val="20"/>
        </w:rPr>
        <w:t>Pedagogical principles</w:t>
      </w:r>
    </w:p>
    <w:p w14:paraId="463B063D"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8. </w:t>
      </w:r>
      <w:r w:rsidRPr="00F247BB">
        <w:rPr>
          <w:rFonts w:ascii="Candara" w:hAnsi="Candara" w:cs="Arial-BoldItalicMT"/>
          <w:b/>
          <w:bCs/>
          <w:i/>
          <w:iCs/>
          <w:sz w:val="20"/>
          <w:szCs w:val="20"/>
        </w:rPr>
        <w:t>Gender</w:t>
      </w:r>
    </w:p>
    <w:p w14:paraId="616B3EF5"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Schemes of learning and sources should reflect the gendered experience of enslavement,</w:t>
      </w:r>
      <w:r w:rsidR="00522A13" w:rsidRPr="00F247BB">
        <w:rPr>
          <w:rFonts w:ascii="Candara" w:hAnsi="Candara" w:cs="ArialMT"/>
          <w:sz w:val="20"/>
          <w:szCs w:val="20"/>
        </w:rPr>
        <w:t xml:space="preserve"> </w:t>
      </w:r>
      <w:r w:rsidRPr="00F247BB">
        <w:rPr>
          <w:rFonts w:ascii="Candara" w:hAnsi="Candara" w:cs="ArialMT"/>
          <w:sz w:val="20"/>
          <w:szCs w:val="20"/>
        </w:rPr>
        <w:t>resistance and emancipation.</w:t>
      </w:r>
    </w:p>
    <w:p w14:paraId="6A5B186A"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p>
    <w:p w14:paraId="43C48B6D"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9. </w:t>
      </w:r>
      <w:r w:rsidRPr="00F247BB">
        <w:rPr>
          <w:rFonts w:ascii="Candara" w:hAnsi="Candara" w:cs="Arial-BoldItalicMT"/>
          <w:b/>
          <w:bCs/>
          <w:i/>
          <w:iCs/>
          <w:sz w:val="20"/>
          <w:szCs w:val="20"/>
        </w:rPr>
        <w:t>Representation and memory</w:t>
      </w:r>
    </w:p>
    <w:p w14:paraId="6625A42B"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The commemoration and representation of transatlantic slavery should be examined and</w:t>
      </w:r>
      <w:r w:rsidR="00522A13" w:rsidRPr="00F247BB">
        <w:rPr>
          <w:rFonts w:ascii="Candara" w:hAnsi="Candara" w:cs="ArialMT"/>
          <w:sz w:val="20"/>
          <w:szCs w:val="20"/>
        </w:rPr>
        <w:t xml:space="preserve"> </w:t>
      </w:r>
      <w:r w:rsidRPr="00F247BB">
        <w:rPr>
          <w:rFonts w:ascii="Candara" w:hAnsi="Candara" w:cs="ArialMT"/>
          <w:sz w:val="20"/>
          <w:szCs w:val="20"/>
        </w:rPr>
        <w:t>debated in relation to the ways in which it has shaped ideas about race both at the time and</w:t>
      </w:r>
      <w:r w:rsidR="00522A13" w:rsidRPr="00F247BB">
        <w:rPr>
          <w:rFonts w:ascii="Candara" w:hAnsi="Candara" w:cs="ArialMT"/>
          <w:sz w:val="20"/>
          <w:szCs w:val="20"/>
        </w:rPr>
        <w:t xml:space="preserve"> </w:t>
      </w:r>
      <w:r w:rsidRPr="00F247BB">
        <w:rPr>
          <w:rFonts w:ascii="Candara" w:hAnsi="Candara" w:cs="ArialMT"/>
          <w:sz w:val="20"/>
          <w:szCs w:val="20"/>
        </w:rPr>
        <w:t>in the present.</w:t>
      </w:r>
    </w:p>
    <w:p w14:paraId="4D180214" w14:textId="77777777" w:rsidR="00522A13" w:rsidRPr="00F247BB" w:rsidRDefault="00522A13" w:rsidP="00522A13">
      <w:pPr>
        <w:autoSpaceDE w:val="0"/>
        <w:autoSpaceDN w:val="0"/>
        <w:adjustRightInd w:val="0"/>
        <w:spacing w:after="0" w:line="240" w:lineRule="auto"/>
        <w:ind w:right="1701"/>
        <w:rPr>
          <w:rFonts w:ascii="Candara" w:hAnsi="Candara" w:cs="Arial-BoldItalicMT"/>
          <w:b/>
          <w:bCs/>
          <w:i/>
          <w:iCs/>
          <w:sz w:val="20"/>
          <w:szCs w:val="20"/>
        </w:rPr>
      </w:pPr>
    </w:p>
    <w:p w14:paraId="2D1487CB"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ItalicMT"/>
          <w:b/>
          <w:bCs/>
          <w:i/>
          <w:iCs/>
          <w:sz w:val="20"/>
          <w:szCs w:val="20"/>
        </w:rPr>
        <w:t>10. Enslaved and descendant voices</w:t>
      </w:r>
    </w:p>
    <w:p w14:paraId="07AA3803"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The sources selected for schemes of learning must include the voices of those impacted by</w:t>
      </w:r>
      <w:r w:rsidR="00522A13" w:rsidRPr="00F247BB">
        <w:rPr>
          <w:rFonts w:ascii="Candara" w:hAnsi="Candara" w:cs="ArialMT"/>
          <w:sz w:val="20"/>
          <w:szCs w:val="20"/>
        </w:rPr>
        <w:t xml:space="preserve"> </w:t>
      </w:r>
      <w:r w:rsidRPr="00F247BB">
        <w:rPr>
          <w:rFonts w:ascii="Candara" w:hAnsi="Candara" w:cs="ArialMT"/>
          <w:sz w:val="20"/>
          <w:szCs w:val="20"/>
        </w:rPr>
        <w:t>the oppression of transatlantic slavery.</w:t>
      </w:r>
    </w:p>
    <w:p w14:paraId="28338696"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p>
    <w:p w14:paraId="5BBEE482"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11. </w:t>
      </w:r>
      <w:r w:rsidRPr="00F247BB">
        <w:rPr>
          <w:rFonts w:ascii="Candara" w:hAnsi="Candara" w:cs="Arial-BoldItalicMT"/>
          <w:b/>
          <w:bCs/>
          <w:i/>
          <w:iCs/>
          <w:sz w:val="20"/>
          <w:szCs w:val="20"/>
        </w:rPr>
        <w:t>Historiography</w:t>
      </w:r>
    </w:p>
    <w:p w14:paraId="45513C06"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The range of historical interpretations must include the work of African and</w:t>
      </w:r>
      <w:r w:rsidR="00522A13" w:rsidRPr="00F247BB">
        <w:rPr>
          <w:rFonts w:ascii="Candara" w:hAnsi="Candara" w:cs="ArialMT"/>
          <w:sz w:val="20"/>
          <w:szCs w:val="20"/>
        </w:rPr>
        <w:t xml:space="preserve"> </w:t>
      </w:r>
      <w:r w:rsidRPr="00F247BB">
        <w:rPr>
          <w:rFonts w:ascii="Candara" w:hAnsi="Candara" w:cs="ArialMT"/>
          <w:sz w:val="20"/>
          <w:szCs w:val="20"/>
        </w:rPr>
        <w:t>Caribbean</w:t>
      </w:r>
      <w:r w:rsidR="00522A13" w:rsidRPr="00F247BB">
        <w:rPr>
          <w:rFonts w:ascii="Candara" w:hAnsi="Candara" w:cs="ArialMT"/>
          <w:sz w:val="20"/>
          <w:szCs w:val="20"/>
        </w:rPr>
        <w:t xml:space="preserve"> </w:t>
      </w:r>
      <w:r w:rsidRPr="00F247BB">
        <w:rPr>
          <w:rFonts w:ascii="Candara" w:hAnsi="Candara" w:cs="ArialMT"/>
          <w:sz w:val="20"/>
          <w:szCs w:val="20"/>
        </w:rPr>
        <w:t>historians.</w:t>
      </w:r>
    </w:p>
    <w:p w14:paraId="58788221"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p>
    <w:p w14:paraId="2224FE90"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12. </w:t>
      </w:r>
      <w:r w:rsidRPr="00F247BB">
        <w:rPr>
          <w:rFonts w:ascii="Candara" w:hAnsi="Candara" w:cs="Arial-BoldItalicMT"/>
          <w:b/>
          <w:bCs/>
          <w:i/>
          <w:iCs/>
          <w:sz w:val="20"/>
          <w:szCs w:val="20"/>
        </w:rPr>
        <w:t>Respect</w:t>
      </w:r>
    </w:p>
    <w:p w14:paraId="0046943C"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Schemes of learning must recognise the sensitivities of teaching traumatic histories and</w:t>
      </w:r>
      <w:r w:rsidR="00522A13" w:rsidRPr="00F247BB">
        <w:rPr>
          <w:rFonts w:ascii="Candara" w:hAnsi="Candara" w:cs="ArialMT"/>
          <w:sz w:val="20"/>
          <w:szCs w:val="20"/>
        </w:rPr>
        <w:t xml:space="preserve"> </w:t>
      </w:r>
      <w:r w:rsidRPr="00F247BB">
        <w:rPr>
          <w:rFonts w:ascii="Candara" w:hAnsi="Candara" w:cs="ArialMT"/>
          <w:sz w:val="20"/>
          <w:szCs w:val="20"/>
        </w:rPr>
        <w:t>avoid activities and approaches that risk trivialising or demeaning the experiences of</w:t>
      </w:r>
      <w:r w:rsidR="00522A13" w:rsidRPr="00F247BB">
        <w:rPr>
          <w:rFonts w:ascii="Candara" w:hAnsi="Candara" w:cs="ArialMT"/>
          <w:sz w:val="20"/>
          <w:szCs w:val="20"/>
        </w:rPr>
        <w:t xml:space="preserve"> </w:t>
      </w:r>
      <w:r w:rsidRPr="00F247BB">
        <w:rPr>
          <w:rFonts w:ascii="Candara" w:hAnsi="Candara" w:cs="ArialMT"/>
          <w:sz w:val="20"/>
          <w:szCs w:val="20"/>
        </w:rPr>
        <w:t>enslaved people and their descendants.</w:t>
      </w:r>
    </w:p>
    <w:p w14:paraId="2EB184EF"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p>
    <w:p w14:paraId="6B459512"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13. </w:t>
      </w:r>
      <w:r w:rsidRPr="00F247BB">
        <w:rPr>
          <w:rFonts w:ascii="Candara" w:hAnsi="Candara" w:cs="Arial-BoldItalicMT"/>
          <w:b/>
          <w:bCs/>
          <w:i/>
          <w:iCs/>
          <w:sz w:val="20"/>
          <w:szCs w:val="20"/>
        </w:rPr>
        <w:t>Dialogue</w:t>
      </w:r>
    </w:p>
    <w:p w14:paraId="6774D05E" w14:textId="77777777" w:rsidR="00F71B0C"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Children must be given time in the classroom to discuss the sensitive and challenging</w:t>
      </w:r>
      <w:r w:rsidR="00522A13" w:rsidRPr="00F247BB">
        <w:rPr>
          <w:rFonts w:ascii="Candara" w:hAnsi="Candara" w:cs="ArialMT"/>
          <w:sz w:val="20"/>
          <w:szCs w:val="20"/>
        </w:rPr>
        <w:t xml:space="preserve"> </w:t>
      </w:r>
      <w:r w:rsidRPr="00F247BB">
        <w:rPr>
          <w:rFonts w:ascii="Candara" w:hAnsi="Candara" w:cs="ArialMT"/>
          <w:sz w:val="20"/>
          <w:szCs w:val="20"/>
        </w:rPr>
        <w:t>aspects of the topic, including contemporary race relations and the use of racial language.</w:t>
      </w:r>
    </w:p>
    <w:p w14:paraId="076A97AB" w14:textId="77777777" w:rsidR="00522A13" w:rsidRPr="00F247BB" w:rsidRDefault="00522A13" w:rsidP="00522A13">
      <w:pPr>
        <w:autoSpaceDE w:val="0"/>
        <w:autoSpaceDN w:val="0"/>
        <w:adjustRightInd w:val="0"/>
        <w:spacing w:after="0" w:line="240" w:lineRule="auto"/>
        <w:ind w:right="1701"/>
        <w:rPr>
          <w:rFonts w:ascii="Candara" w:hAnsi="Candara" w:cs="Arial-BoldMT"/>
          <w:b/>
          <w:bCs/>
          <w:sz w:val="20"/>
          <w:szCs w:val="20"/>
        </w:rPr>
      </w:pPr>
    </w:p>
    <w:p w14:paraId="1F4935B8" w14:textId="77777777" w:rsidR="00F71B0C" w:rsidRPr="00F247BB" w:rsidRDefault="00F71B0C" w:rsidP="00522A13">
      <w:pPr>
        <w:autoSpaceDE w:val="0"/>
        <w:autoSpaceDN w:val="0"/>
        <w:adjustRightInd w:val="0"/>
        <w:spacing w:after="0" w:line="240" w:lineRule="auto"/>
        <w:ind w:right="1701"/>
        <w:rPr>
          <w:rFonts w:ascii="Candara" w:hAnsi="Candara" w:cs="Arial-BoldItalicMT"/>
          <w:b/>
          <w:bCs/>
          <w:i/>
          <w:iCs/>
          <w:sz w:val="20"/>
          <w:szCs w:val="20"/>
        </w:rPr>
      </w:pPr>
      <w:r w:rsidRPr="00F247BB">
        <w:rPr>
          <w:rFonts w:ascii="Candara" w:hAnsi="Candara" w:cs="Arial-BoldMT"/>
          <w:b/>
          <w:bCs/>
          <w:sz w:val="20"/>
          <w:szCs w:val="20"/>
        </w:rPr>
        <w:t xml:space="preserve">14. </w:t>
      </w:r>
      <w:r w:rsidRPr="00F247BB">
        <w:rPr>
          <w:rFonts w:ascii="Candara" w:hAnsi="Candara" w:cs="Arial-BoldItalicMT"/>
          <w:b/>
          <w:bCs/>
          <w:i/>
          <w:iCs/>
          <w:sz w:val="20"/>
          <w:szCs w:val="20"/>
        </w:rPr>
        <w:t>Time</w:t>
      </w:r>
    </w:p>
    <w:p w14:paraId="569E88F8" w14:textId="77777777" w:rsidR="009E79AA" w:rsidRPr="00F247BB" w:rsidRDefault="00F71B0C" w:rsidP="00522A13">
      <w:pPr>
        <w:autoSpaceDE w:val="0"/>
        <w:autoSpaceDN w:val="0"/>
        <w:adjustRightInd w:val="0"/>
        <w:spacing w:after="0" w:line="240" w:lineRule="auto"/>
        <w:ind w:right="1701"/>
        <w:rPr>
          <w:rFonts w:ascii="Candara" w:hAnsi="Candara" w:cs="ArialMT"/>
          <w:sz w:val="20"/>
          <w:szCs w:val="20"/>
        </w:rPr>
      </w:pPr>
      <w:r w:rsidRPr="00F247BB">
        <w:rPr>
          <w:rFonts w:ascii="Candara" w:hAnsi="Candara" w:cs="ArialMT"/>
          <w:sz w:val="20"/>
          <w:szCs w:val="20"/>
        </w:rPr>
        <w:t>Whilst recognizing the pressure of time, all seven curricular principles should feature in any</w:t>
      </w:r>
      <w:r w:rsidR="00522A13" w:rsidRPr="00F247BB">
        <w:rPr>
          <w:rFonts w:ascii="Candara" w:hAnsi="Candara" w:cs="ArialMT"/>
          <w:sz w:val="20"/>
          <w:szCs w:val="20"/>
        </w:rPr>
        <w:t xml:space="preserve"> </w:t>
      </w:r>
      <w:r w:rsidRPr="00F247BB">
        <w:rPr>
          <w:rFonts w:ascii="Candara" w:hAnsi="Candara" w:cs="ArialMT"/>
          <w:sz w:val="20"/>
          <w:szCs w:val="20"/>
        </w:rPr>
        <w:t>scheme of learning that engages with this topic.</w:t>
      </w:r>
    </w:p>
    <w:sectPr w:rsidR="009E79AA" w:rsidRPr="00F247BB" w:rsidSect="00F247BB">
      <w:pgSz w:w="11906" w:h="16838"/>
      <w:pgMar w:top="720" w:right="3402"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ndara">
    <w:panose1 w:val="020E0502030303020204"/>
    <w:charset w:val="00"/>
    <w:family w:val="swiss"/>
    <w:pitch w:val="variable"/>
    <w:sig w:usb0="A00002EF" w:usb1="4000A44B" w:usb2="00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BoldMT">
    <w:altName w:val="Arial"/>
    <w:panose1 w:val="00000000000000000000"/>
    <w:charset w:val="00"/>
    <w:family w:val="swiss"/>
    <w:notTrueType/>
    <w:pitch w:val="default"/>
    <w:sig w:usb0="00000003" w:usb1="00000000" w:usb2="00000000" w:usb3="00000000" w:csb0="00000001" w:csb1="00000000"/>
  </w:font>
  <w:font w:name="Arial-BoldItalicMT">
    <w:altName w:val="Arial"/>
    <w:panose1 w:val="00000000000000000000"/>
    <w:charset w:val="00"/>
    <w:family w:val="swiss"/>
    <w:notTrueType/>
    <w:pitch w:val="default"/>
    <w:sig w:usb0="00000003" w:usb1="00000000" w:usb2="00000000" w:usb3="00000000" w:csb0="00000001" w:csb1="00000000"/>
  </w:font>
  <w:font w:name="Arial-Italic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E7DE5"/>
    <w:multiLevelType w:val="hybridMultilevel"/>
    <w:tmpl w:val="31D8B9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07D3C20"/>
    <w:multiLevelType w:val="hybridMultilevel"/>
    <w:tmpl w:val="C6343CA6"/>
    <w:lvl w:ilvl="0" w:tplc="0809001B">
      <w:start w:val="1"/>
      <w:numFmt w:val="lowerRoman"/>
      <w:lvlText w:val="%1."/>
      <w:lvlJc w:val="righ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EAE5155"/>
    <w:multiLevelType w:val="hybridMultilevel"/>
    <w:tmpl w:val="8EC6E5A4"/>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B0C"/>
    <w:rsid w:val="00034CE1"/>
    <w:rsid w:val="001C4B33"/>
    <w:rsid w:val="00522A13"/>
    <w:rsid w:val="00686D7D"/>
    <w:rsid w:val="00874CDE"/>
    <w:rsid w:val="009E1EC0"/>
    <w:rsid w:val="009E79AA"/>
    <w:rsid w:val="00C96EA9"/>
    <w:rsid w:val="00D4017A"/>
    <w:rsid w:val="00DB037D"/>
    <w:rsid w:val="00E0653B"/>
    <w:rsid w:val="00F030A1"/>
    <w:rsid w:val="00F14801"/>
    <w:rsid w:val="00F247BB"/>
    <w:rsid w:val="00F71B0C"/>
    <w:rsid w:val="00F96C6E"/>
    <w:rsid w:val="00FC18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1B76E"/>
  <w15:chartTrackingRefBased/>
  <w15:docId w15:val="{33393E8B-C4C4-4B4D-864C-A9F301CD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328719">
      <w:bodyDiv w:val="1"/>
      <w:marLeft w:val="0"/>
      <w:marRight w:val="0"/>
      <w:marTop w:val="0"/>
      <w:marBottom w:val="0"/>
      <w:divBdr>
        <w:top w:val="none" w:sz="0" w:space="0" w:color="auto"/>
        <w:left w:val="none" w:sz="0" w:space="0" w:color="auto"/>
        <w:bottom w:val="none" w:sz="0" w:space="0" w:color="auto"/>
        <w:right w:val="none" w:sz="0" w:space="0" w:color="auto"/>
      </w:divBdr>
      <w:divsChild>
        <w:div w:id="1752659227">
          <w:marLeft w:val="547"/>
          <w:marRight w:val="0"/>
          <w:marTop w:val="0"/>
          <w:marBottom w:val="0"/>
          <w:divBdr>
            <w:top w:val="none" w:sz="0" w:space="0" w:color="auto"/>
            <w:left w:val="none" w:sz="0" w:space="0" w:color="auto"/>
            <w:bottom w:val="none" w:sz="0" w:space="0" w:color="auto"/>
            <w:right w:val="none" w:sz="0" w:space="0" w:color="auto"/>
          </w:divBdr>
        </w:div>
        <w:div w:id="1871992690">
          <w:marLeft w:val="547"/>
          <w:marRight w:val="0"/>
          <w:marTop w:val="0"/>
          <w:marBottom w:val="0"/>
          <w:divBdr>
            <w:top w:val="none" w:sz="0" w:space="0" w:color="auto"/>
            <w:left w:val="none" w:sz="0" w:space="0" w:color="auto"/>
            <w:bottom w:val="none" w:sz="0" w:space="0" w:color="auto"/>
            <w:right w:val="none" w:sz="0" w:space="0" w:color="auto"/>
          </w:divBdr>
        </w:div>
        <w:div w:id="1005136778">
          <w:marLeft w:val="547"/>
          <w:marRight w:val="0"/>
          <w:marTop w:val="0"/>
          <w:marBottom w:val="0"/>
          <w:divBdr>
            <w:top w:val="none" w:sz="0" w:space="0" w:color="auto"/>
            <w:left w:val="none" w:sz="0" w:space="0" w:color="auto"/>
            <w:bottom w:val="none" w:sz="0" w:space="0" w:color="auto"/>
            <w:right w:val="none" w:sz="0" w:space="0" w:color="auto"/>
          </w:divBdr>
        </w:div>
        <w:div w:id="1684894006">
          <w:marLeft w:val="547"/>
          <w:marRight w:val="0"/>
          <w:marTop w:val="0"/>
          <w:marBottom w:val="0"/>
          <w:divBdr>
            <w:top w:val="none" w:sz="0" w:space="0" w:color="auto"/>
            <w:left w:val="none" w:sz="0" w:space="0" w:color="auto"/>
            <w:bottom w:val="none" w:sz="0" w:space="0" w:color="auto"/>
            <w:right w:val="none" w:sz="0" w:space="0" w:color="auto"/>
          </w:divBdr>
        </w:div>
        <w:div w:id="1377462449">
          <w:marLeft w:val="547"/>
          <w:marRight w:val="0"/>
          <w:marTop w:val="0"/>
          <w:marBottom w:val="0"/>
          <w:divBdr>
            <w:top w:val="none" w:sz="0" w:space="0" w:color="auto"/>
            <w:left w:val="none" w:sz="0" w:space="0" w:color="auto"/>
            <w:bottom w:val="none" w:sz="0" w:space="0" w:color="auto"/>
            <w:right w:val="none" w:sz="0" w:space="0" w:color="auto"/>
          </w:divBdr>
        </w:div>
        <w:div w:id="61972212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737</Words>
  <Characters>4204</Characters>
  <Application>Microsoft Office Word</Application>
  <DocSecurity>0</DocSecurity>
  <Lines>35</Lines>
  <Paragraphs>9</Paragraphs>
  <ScaleCrop>false</ScaleCrop>
  <Company>Oaklands Secondary School</Company>
  <LinksUpToDate>false</LinksUpToDate>
  <CharactersWithSpaces>4932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16</cp:revision>
  <dcterms:created xsi:type="dcterms:W3CDTF">2019-12-10T16:41:00Z</dcterms:created>
  <dcterms:modified xsi:type="dcterms:W3CDTF">2020-01-20T20:20:00Z</dcterms:modified>
</cp:coreProperties>
</file>