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0A5316" w14:textId="77777777" w:rsidR="00565B95" w:rsidRPr="00FE36BE" w:rsidRDefault="00FE36BE">
      <w:pPr>
        <w:rPr>
          <w:rFonts w:ascii="Candara" w:hAnsi="Candara"/>
          <w:sz w:val="20"/>
          <w:szCs w:val="20"/>
        </w:rPr>
      </w:pPr>
      <w:r w:rsidRPr="00FE36BE">
        <w:rPr>
          <w:rFonts w:ascii="Candara" w:hAnsi="Candara"/>
          <w:noProof/>
          <w:sz w:val="20"/>
          <w:szCs w:val="20"/>
        </w:rPr>
        <w:drawing>
          <wp:anchor distT="0" distB="0" distL="0" distR="0" simplePos="0" relativeHeight="251659264" behindDoc="0" locked="0" layoutInCell="1" allowOverlap="1" wp14:anchorId="71D25129" wp14:editId="2C809518">
            <wp:simplePos x="0" y="0"/>
            <wp:positionH relativeFrom="margin">
              <wp:posOffset>387754</wp:posOffset>
            </wp:positionH>
            <wp:positionV relativeFrom="margin">
              <wp:align>top</wp:align>
            </wp:positionV>
            <wp:extent cx="4439285" cy="5744845"/>
            <wp:effectExtent l="0" t="0" r="0" b="8255"/>
            <wp:wrapTopAndBottom/>
            <wp:docPr id="21" name="cover.jpg"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Cover"/>
                    <pic:cNvPicPr/>
                  </pic:nvPicPr>
                  <pic:blipFill>
                    <a:blip r:embed="rId4"/>
                    <a:stretch>
                      <a:fillRect/>
                    </a:stretch>
                  </pic:blipFill>
                  <pic:spPr>
                    <a:xfrm>
                      <a:off x="0" y="0"/>
                      <a:ext cx="4439285" cy="5744845"/>
                    </a:xfrm>
                    <a:prstGeom prst="rect">
                      <a:avLst/>
                    </a:prstGeom>
                  </pic:spPr>
                </pic:pic>
              </a:graphicData>
            </a:graphic>
            <wp14:sizeRelH relativeFrom="margin">
              <wp14:pctWidth>0</wp14:pctWidth>
            </wp14:sizeRelH>
            <wp14:sizeRelV relativeFrom="margin">
              <wp14:pctHeight>0</wp14:pctHeight>
            </wp14:sizeRelV>
          </wp:anchor>
        </w:drawing>
      </w:r>
    </w:p>
    <w:p w14:paraId="45224A35" w14:textId="77777777" w:rsidR="00FE36BE" w:rsidRPr="00FE36BE" w:rsidRDefault="00FE36BE" w:rsidP="00FE36BE">
      <w:pPr>
        <w:rPr>
          <w:rFonts w:ascii="Candara" w:hAnsi="Candara"/>
          <w:sz w:val="20"/>
          <w:szCs w:val="20"/>
        </w:rPr>
      </w:pPr>
    </w:p>
    <w:p w14:paraId="4F85BD94" w14:textId="77777777" w:rsidR="00FE36BE" w:rsidRPr="00FE36BE" w:rsidRDefault="00FE36BE" w:rsidP="00FE36BE">
      <w:pPr>
        <w:rPr>
          <w:rFonts w:ascii="Candara" w:hAnsi="Candara"/>
          <w:sz w:val="20"/>
          <w:szCs w:val="20"/>
        </w:rPr>
      </w:pPr>
    </w:p>
    <w:p w14:paraId="58C6A6F0" w14:textId="77777777" w:rsidR="00FE36BE" w:rsidRPr="00FE36BE" w:rsidRDefault="00FE36BE" w:rsidP="00FE36BE">
      <w:pPr>
        <w:rPr>
          <w:rFonts w:ascii="Candara" w:hAnsi="Candara"/>
          <w:sz w:val="20"/>
          <w:szCs w:val="20"/>
        </w:rPr>
      </w:pPr>
    </w:p>
    <w:p w14:paraId="57FF2CAA" w14:textId="77777777" w:rsidR="00FE36BE" w:rsidRPr="00FE36BE" w:rsidRDefault="00FE36BE" w:rsidP="00FE36BE">
      <w:pPr>
        <w:rPr>
          <w:rFonts w:ascii="Candara" w:hAnsi="Candara"/>
          <w:sz w:val="20"/>
          <w:szCs w:val="20"/>
        </w:rPr>
      </w:pPr>
    </w:p>
    <w:p w14:paraId="736149AD" w14:textId="77777777" w:rsidR="00FE36BE" w:rsidRPr="00FE36BE" w:rsidRDefault="00FE36BE">
      <w:pPr>
        <w:rPr>
          <w:rFonts w:ascii="Candara" w:hAnsi="Candara"/>
          <w:sz w:val="20"/>
          <w:szCs w:val="20"/>
        </w:rPr>
      </w:pPr>
      <w:r w:rsidRPr="00FE36BE">
        <w:rPr>
          <w:rFonts w:ascii="Candara" w:hAnsi="Candara"/>
          <w:sz w:val="20"/>
          <w:szCs w:val="20"/>
        </w:rPr>
        <w:br w:type="page"/>
      </w:r>
    </w:p>
    <w:p w14:paraId="76545C78" w14:textId="77777777" w:rsidR="00FE36BE" w:rsidRDefault="00FE36BE" w:rsidP="00FE36BE">
      <w:pPr>
        <w:pStyle w:val="Para17"/>
        <w:rPr>
          <w:rFonts w:ascii="Candara" w:hAnsi="Candara"/>
          <w:sz w:val="28"/>
          <w:szCs w:val="28"/>
        </w:rPr>
      </w:pPr>
      <w:bookmarkStart w:id="0" w:name="Twenty_Million_Pounds_Slave_Owne"/>
      <w:r>
        <w:rPr>
          <w:rFonts w:ascii="Candara" w:hAnsi="Candara"/>
          <w:sz w:val="28"/>
          <w:szCs w:val="28"/>
        </w:rPr>
        <w:lastRenderedPageBreak/>
        <w:t>CHAPTER 11</w:t>
      </w:r>
    </w:p>
    <w:p w14:paraId="1D6C53B8" w14:textId="77777777" w:rsidR="00FE36BE" w:rsidRPr="00FE36BE" w:rsidRDefault="00FE36BE" w:rsidP="00FE36BE">
      <w:pPr>
        <w:pStyle w:val="Para17"/>
        <w:rPr>
          <w:rFonts w:ascii="Candara" w:hAnsi="Candara"/>
          <w:sz w:val="28"/>
          <w:szCs w:val="28"/>
        </w:rPr>
      </w:pPr>
      <w:bookmarkStart w:id="1" w:name="_GoBack"/>
      <w:bookmarkEnd w:id="1"/>
      <w:r w:rsidRPr="00FE36BE">
        <w:rPr>
          <w:rFonts w:ascii="Candara" w:hAnsi="Candara"/>
          <w:sz w:val="28"/>
          <w:szCs w:val="28"/>
        </w:rPr>
        <w:t>Twenty Million Pounds:</w:t>
      </w:r>
      <w:r w:rsidRPr="00FE36BE">
        <w:rPr>
          <w:rFonts w:ascii="Candara" w:hAnsi="Candara"/>
          <w:sz w:val="28"/>
          <w:szCs w:val="28"/>
        </w:rPr>
        <w:br/>
        <w:t>Slave Owners’ Reparations</w:t>
      </w:r>
      <w:bookmarkEnd w:id="0"/>
    </w:p>
    <w:p w14:paraId="5FD47184" w14:textId="77777777" w:rsidR="00FE36BE" w:rsidRPr="00FE36BE" w:rsidRDefault="00FE36BE" w:rsidP="00FE36BE">
      <w:pPr>
        <w:pStyle w:val="Para25"/>
        <w:rPr>
          <w:rFonts w:ascii="Candara" w:hAnsi="Candara"/>
          <w:sz w:val="18"/>
          <w:szCs w:val="18"/>
        </w:rPr>
      </w:pPr>
      <w:r w:rsidRPr="00FE36BE">
        <w:rPr>
          <w:rFonts w:ascii="Candara" w:hAnsi="Candara"/>
          <w:sz w:val="18"/>
          <w:szCs w:val="18"/>
        </w:rPr>
        <w:t>Many of the slave plantation owners in the West Indies had a direct link to Bristol and contributed much to the city’s wealth. Ironically, the compensation that they received once full emancipation took effect in 1838 contributed further to the city’s prosperity.</w:t>
      </w:r>
    </w:p>
    <w:p w14:paraId="7413AD37" w14:textId="77777777" w:rsidR="00FE36BE" w:rsidRPr="00FE36BE" w:rsidRDefault="00FE36BE" w:rsidP="00FE36BE">
      <w:pPr>
        <w:pStyle w:val="Para22"/>
        <w:rPr>
          <w:rFonts w:ascii="Candara" w:hAnsi="Candara"/>
          <w:sz w:val="18"/>
          <w:szCs w:val="18"/>
        </w:rPr>
      </w:pPr>
      <w:r w:rsidRPr="00FE36BE">
        <w:rPr>
          <w:rFonts w:ascii="Candara" w:hAnsi="Candara"/>
          <w:sz w:val="18"/>
          <w:szCs w:val="18"/>
        </w:rPr>
        <w:t>—Stephen Williams, Member of Parliament, Debate on the Bicentenary of the Abolition of the Slave Trade, House of Commons, 20 March 2007</w:t>
      </w:r>
    </w:p>
    <w:p w14:paraId="31E91623" w14:textId="77777777" w:rsidR="00FE36BE" w:rsidRPr="00FE36BE" w:rsidRDefault="00FE36BE" w:rsidP="00FE36BE">
      <w:pPr>
        <w:pStyle w:val="Para28"/>
        <w:rPr>
          <w:rFonts w:ascii="Candara" w:hAnsi="Candara"/>
          <w:sz w:val="22"/>
          <w:szCs w:val="22"/>
        </w:rPr>
      </w:pPr>
      <w:r w:rsidRPr="00FE36BE">
        <w:rPr>
          <w:rStyle w:val="01Text"/>
          <w:rFonts w:ascii="Candara" w:hAnsi="Candara"/>
          <w:sz w:val="16"/>
          <w:szCs w:val="16"/>
        </w:rPr>
        <w:t xml:space="preserve">In 1838, the British people </w:t>
      </w:r>
      <w:r w:rsidRPr="00FE36BE">
        <w:rPr>
          <w:rFonts w:ascii="Candara" w:hAnsi="Candara"/>
          <w:sz w:val="22"/>
          <w:szCs w:val="22"/>
        </w:rPr>
        <w:t>ended their 250-year-old “national crime” of black enslavement with a sum total payment of £20 million to the last slave-owning cohort. From the perspective of the state, the cash payout represented an apology for aborting the property rights of citizens, a legal action that prompted a settlement as monetary reparations.</w:t>
      </w:r>
      <w:bookmarkStart w:id="2" w:name="cue_242_298"/>
      <w:bookmarkEnd w:id="2"/>
      <w:r w:rsidRPr="00FE36BE">
        <w:rPr>
          <w:rFonts w:ascii="Candara" w:hAnsi="Candara"/>
          <w:sz w:val="22"/>
          <w:szCs w:val="22"/>
        </w:rPr>
        <w:fldChar w:fldCharType="begin"/>
      </w:r>
      <w:r w:rsidRPr="00FE36BE">
        <w:rPr>
          <w:rFonts w:ascii="Candara" w:hAnsi="Candara"/>
          <w:sz w:val="22"/>
          <w:szCs w:val="22"/>
        </w:rPr>
        <w:instrText xml:space="preserve"> HYPERLINK \l "note_242_298" \h </w:instrText>
      </w:r>
      <w:r w:rsidRPr="00FE36BE">
        <w:rPr>
          <w:rFonts w:ascii="Candara" w:hAnsi="Candara"/>
          <w:sz w:val="22"/>
          <w:szCs w:val="22"/>
        </w:rPr>
        <w:fldChar w:fldCharType="separate"/>
      </w:r>
      <w:r w:rsidRPr="00FE36BE">
        <w:rPr>
          <w:rStyle w:val="09Text"/>
          <w:rFonts w:ascii="Candara" w:hAnsi="Candara"/>
          <w:sz w:val="16"/>
          <w:szCs w:val="16"/>
        </w:rPr>
        <w:t>1</w:t>
      </w:r>
      <w:r w:rsidRPr="00FE36BE">
        <w:rPr>
          <w:rStyle w:val="09Text"/>
          <w:rFonts w:ascii="Candara" w:hAnsi="Candara"/>
          <w:sz w:val="16"/>
          <w:szCs w:val="16"/>
        </w:rPr>
        <w:fldChar w:fldCharType="end"/>
      </w:r>
    </w:p>
    <w:p w14:paraId="5602F9A1" w14:textId="77777777" w:rsidR="00FE36BE" w:rsidRPr="00FE36BE" w:rsidRDefault="00FE36BE" w:rsidP="00FE36BE">
      <w:pPr>
        <w:pStyle w:val="Para01"/>
        <w:rPr>
          <w:rFonts w:ascii="Candara" w:hAnsi="Candara"/>
          <w:sz w:val="22"/>
          <w:szCs w:val="22"/>
        </w:rPr>
      </w:pPr>
      <w:r w:rsidRPr="00FE36BE">
        <w:rPr>
          <w:rFonts w:ascii="Candara" w:hAnsi="Candara"/>
          <w:sz w:val="22"/>
          <w:szCs w:val="22"/>
        </w:rPr>
        <w:t>Slavery, then, came to an end with a festive orgy of public money being showered upon slave owners, who for generations had been financially enriched, socially elevated and celebrated, and politically empowered and protected. Their final pillage came in the form of massive financial reparations from the British treasury. The £20 million were the last grains from the slave- endowed public granary.</w:t>
      </w:r>
      <w:bookmarkStart w:id="3" w:name="cue_242_299"/>
      <w:bookmarkEnd w:id="3"/>
      <w:r w:rsidRPr="00FE36BE">
        <w:rPr>
          <w:rFonts w:ascii="Candara" w:hAnsi="Candara"/>
          <w:sz w:val="22"/>
          <w:szCs w:val="22"/>
        </w:rPr>
        <w:fldChar w:fldCharType="begin"/>
      </w:r>
      <w:r w:rsidRPr="00FE36BE">
        <w:rPr>
          <w:rFonts w:ascii="Candara" w:hAnsi="Candara"/>
          <w:sz w:val="22"/>
          <w:szCs w:val="22"/>
        </w:rPr>
        <w:instrText xml:space="preserve"> HYPERLINK \l "note_242_299" \h </w:instrText>
      </w:r>
      <w:r w:rsidRPr="00FE36BE">
        <w:rPr>
          <w:rFonts w:ascii="Candara" w:hAnsi="Candara"/>
          <w:sz w:val="22"/>
          <w:szCs w:val="22"/>
        </w:rPr>
        <w:fldChar w:fldCharType="separate"/>
      </w:r>
      <w:r w:rsidRPr="00FE36BE">
        <w:rPr>
          <w:rStyle w:val="09Text"/>
          <w:rFonts w:ascii="Candara" w:hAnsi="Candara"/>
          <w:sz w:val="16"/>
          <w:szCs w:val="16"/>
        </w:rPr>
        <w:t>2</w:t>
      </w:r>
      <w:r w:rsidRPr="00FE36BE">
        <w:rPr>
          <w:rStyle w:val="09Text"/>
          <w:rFonts w:ascii="Candara" w:hAnsi="Candara"/>
          <w:sz w:val="16"/>
          <w:szCs w:val="16"/>
        </w:rPr>
        <w:fldChar w:fldCharType="end"/>
      </w:r>
    </w:p>
    <w:p w14:paraId="4B2F892D" w14:textId="77777777" w:rsidR="00FE36BE" w:rsidRPr="00FE36BE" w:rsidRDefault="00FE36BE" w:rsidP="00FE36BE">
      <w:pPr>
        <w:pStyle w:val="Para01"/>
        <w:rPr>
          <w:rFonts w:ascii="Candara" w:hAnsi="Candara"/>
          <w:sz w:val="22"/>
          <w:szCs w:val="22"/>
        </w:rPr>
      </w:pPr>
      <w:r w:rsidRPr="00FE36BE">
        <w:rPr>
          <w:rFonts w:ascii="Candara" w:hAnsi="Candara"/>
          <w:sz w:val="22"/>
          <w:szCs w:val="22"/>
        </w:rPr>
        <w:t xml:space="preserve">When the issue was discussed in Parliament, some politicians argued that the £20 million paid to slave owners was in fact back pay, part of the taxes the state had extracted with fiscal policies from the slave system. Others spoke </w:t>
      </w:r>
      <w:bookmarkStart w:id="4" w:name="Anchor_2849"/>
      <w:bookmarkStart w:id="5" w:name="Anchor_2791"/>
      <w:bookmarkStart w:id="6" w:name="Anchor_2480"/>
      <w:bookmarkStart w:id="7" w:name="Anchor_2403"/>
      <w:bookmarkStart w:id="8" w:name="Anchor_2374"/>
      <w:bookmarkStart w:id="9" w:name="Anchor_1621"/>
      <w:bookmarkStart w:id="10" w:name="Anchor_1598"/>
      <w:bookmarkStart w:id="11" w:name="Anchor_1164"/>
      <w:bookmarkStart w:id="12" w:name="Anchor_990"/>
      <w:bookmarkEnd w:id="4"/>
      <w:bookmarkEnd w:id="5"/>
      <w:bookmarkEnd w:id="6"/>
      <w:bookmarkEnd w:id="7"/>
      <w:bookmarkEnd w:id="8"/>
      <w:bookmarkEnd w:id="9"/>
      <w:bookmarkEnd w:id="10"/>
      <w:bookmarkEnd w:id="11"/>
      <w:bookmarkEnd w:id="12"/>
      <w:r w:rsidRPr="00FE36BE">
        <w:rPr>
          <w:rFonts w:ascii="Candara" w:hAnsi="Candara"/>
          <w:sz w:val="22"/>
          <w:szCs w:val="22"/>
        </w:rPr>
        <w:t>of pay-up time from the British public that had enjoyed a higher standard of living as a result of cheap slave-produced products. They all recognized that British citizens were socially empowered by the white supremacy culture so effectively institutionalized on a global scale by slave owners. Underlying most statements made in Parliament, however, was an acceptance of the idea that the payment was in part compensation for the role slave owners had played in building the British Empire as a project that successfully enhanced national economic development.</w:t>
      </w:r>
    </w:p>
    <w:p w14:paraId="79AE6E91" w14:textId="77777777" w:rsidR="00FE36BE" w:rsidRPr="00FE36BE" w:rsidRDefault="00FE36BE" w:rsidP="00FE36BE">
      <w:pPr>
        <w:pStyle w:val="Para01"/>
        <w:rPr>
          <w:rFonts w:ascii="Candara" w:hAnsi="Candara"/>
          <w:sz w:val="22"/>
          <w:szCs w:val="22"/>
        </w:rPr>
      </w:pPr>
      <w:r w:rsidRPr="00FE36BE">
        <w:rPr>
          <w:rFonts w:ascii="Candara" w:hAnsi="Candara"/>
          <w:sz w:val="22"/>
          <w:szCs w:val="22"/>
        </w:rPr>
        <w:t>Some ministers of government suggested that the reparation payment to slave owners was a political victory for all sides. Slave owners cashed in their chattel certificates (documents of ownership of black slaves) to the government and collected £20 million; on top of that, they retained access to those same freed Africans by being able to employ them as cheap labour. Blacks were doubly victimized. They got nothing by way of cash reparations to carry them into freedom. No land grants were provided. No promissory notes were posted. Slave owners ran to the banks. Although unchained, the enslaved remained captives of a constitution that rendered them disenfranchised labourers.</w:t>
      </w:r>
    </w:p>
    <w:p w14:paraId="33D4AE1B" w14:textId="77777777" w:rsidR="00FE36BE" w:rsidRPr="00FE36BE" w:rsidRDefault="00FE36BE" w:rsidP="00FE36BE">
      <w:pPr>
        <w:pStyle w:val="Para01"/>
        <w:rPr>
          <w:rFonts w:ascii="Candara" w:hAnsi="Candara"/>
          <w:sz w:val="22"/>
          <w:szCs w:val="22"/>
        </w:rPr>
      </w:pPr>
      <w:r w:rsidRPr="00FE36BE">
        <w:rPr>
          <w:rFonts w:ascii="Candara" w:hAnsi="Candara"/>
          <w:sz w:val="22"/>
          <w:szCs w:val="22"/>
        </w:rPr>
        <w:t>Draper has suggested new ways to look at today’s value of the £20 million reparations that slave owners received in 1838. “The British state of the 1830s was much smaller than it is today, and at 40 per cent of government receipts or expenditures, £20 million was a huge amount: it would equate to almost £200 billion today. . . . Finally, in relation to the size of the economy, the £20 million compensation would be the equivalent of around £76 billion.”</w:t>
      </w:r>
      <w:bookmarkStart w:id="13" w:name="cue_242_300"/>
      <w:bookmarkEnd w:id="13"/>
      <w:r w:rsidRPr="00FE36BE">
        <w:rPr>
          <w:rFonts w:ascii="Candara" w:hAnsi="Candara"/>
          <w:sz w:val="22"/>
          <w:szCs w:val="22"/>
        </w:rPr>
        <w:fldChar w:fldCharType="begin"/>
      </w:r>
      <w:r w:rsidRPr="00FE36BE">
        <w:rPr>
          <w:rFonts w:ascii="Candara" w:hAnsi="Candara"/>
          <w:sz w:val="22"/>
          <w:szCs w:val="22"/>
        </w:rPr>
        <w:instrText xml:space="preserve"> HYPERLINK \l "note_242_300" \h </w:instrText>
      </w:r>
      <w:r w:rsidRPr="00FE36BE">
        <w:rPr>
          <w:rFonts w:ascii="Candara" w:hAnsi="Candara"/>
          <w:sz w:val="22"/>
          <w:szCs w:val="22"/>
        </w:rPr>
        <w:fldChar w:fldCharType="separate"/>
      </w:r>
      <w:r w:rsidRPr="00FE36BE">
        <w:rPr>
          <w:rStyle w:val="09Text"/>
          <w:rFonts w:ascii="Candara" w:hAnsi="Candara"/>
          <w:sz w:val="16"/>
          <w:szCs w:val="16"/>
        </w:rPr>
        <w:t>3</w:t>
      </w:r>
      <w:r w:rsidRPr="00FE36BE">
        <w:rPr>
          <w:rStyle w:val="09Text"/>
          <w:rFonts w:ascii="Candara" w:hAnsi="Candara"/>
          <w:sz w:val="16"/>
          <w:szCs w:val="16"/>
        </w:rPr>
        <w:fldChar w:fldCharType="end"/>
      </w:r>
      <w:r w:rsidRPr="00FE36BE">
        <w:rPr>
          <w:rFonts w:ascii="Candara" w:hAnsi="Candara"/>
          <w:sz w:val="22"/>
          <w:szCs w:val="22"/>
        </w:rPr>
        <w:t xml:space="preserve"> The state and its Caribbean slave-owning partners were bonded together, even if on occasion their heads and hearts diverged.</w:t>
      </w:r>
    </w:p>
    <w:p w14:paraId="01281E59" w14:textId="77777777" w:rsidR="00FE36BE" w:rsidRPr="00FE36BE" w:rsidRDefault="00FE36BE" w:rsidP="00FE36BE">
      <w:pPr>
        <w:pStyle w:val="Para01"/>
        <w:rPr>
          <w:rFonts w:ascii="Candara" w:hAnsi="Candara"/>
          <w:sz w:val="22"/>
          <w:szCs w:val="22"/>
        </w:rPr>
      </w:pPr>
      <w:r w:rsidRPr="00FE36BE">
        <w:rPr>
          <w:rFonts w:ascii="Candara" w:hAnsi="Candara"/>
          <w:sz w:val="22"/>
          <w:szCs w:val="22"/>
        </w:rPr>
        <w:t xml:space="preserve">The policy commitment of the British state to the legal principle of property rights vested in enslaved Africans, and the rallying of the political culture around this economic world view, meant that any notion of legislative emancipation would entail monetary compensation. For two hundred </w:t>
      </w:r>
      <w:r w:rsidRPr="00FE36BE">
        <w:rPr>
          <w:rFonts w:ascii="Candara" w:hAnsi="Candara"/>
          <w:sz w:val="22"/>
          <w:szCs w:val="22"/>
        </w:rPr>
        <w:lastRenderedPageBreak/>
        <w:t xml:space="preserve">years the British had practised the economics of property rights in African bodies. It had become a way of life – a living culture. The colonies may have originated this culture but Britain reaped the benefits equally. The political system of eighteenth-century Britain perpetuated, and traded as its legacy, the idea that Africans were not human, even though, as property, they provided human pleasures to owners. In addition to enforced labour in the fields, enforced warming of the enslavers’ beds was a product whose value was not to be </w:t>
      </w:r>
      <w:bookmarkStart w:id="14" w:name="Anchor_2792"/>
      <w:bookmarkStart w:id="15" w:name="Anchor_2748"/>
      <w:bookmarkStart w:id="16" w:name="Anchor_2603"/>
      <w:bookmarkStart w:id="17" w:name="Anchor_2375"/>
      <w:bookmarkStart w:id="18" w:name="Anchor_1972"/>
      <w:bookmarkStart w:id="19" w:name="Anchor_1929"/>
      <w:bookmarkStart w:id="20" w:name="Anchor_1736"/>
      <w:bookmarkStart w:id="21" w:name="Anchor_1392"/>
      <w:bookmarkStart w:id="22" w:name="Anchor_1079"/>
      <w:bookmarkEnd w:id="14"/>
      <w:bookmarkEnd w:id="15"/>
      <w:bookmarkEnd w:id="16"/>
      <w:bookmarkEnd w:id="17"/>
      <w:bookmarkEnd w:id="18"/>
      <w:bookmarkEnd w:id="19"/>
      <w:bookmarkEnd w:id="20"/>
      <w:bookmarkEnd w:id="21"/>
      <w:bookmarkEnd w:id="22"/>
      <w:r w:rsidRPr="00FE36BE">
        <w:rPr>
          <w:rFonts w:ascii="Candara" w:hAnsi="Candara"/>
          <w:sz w:val="22"/>
          <w:szCs w:val="22"/>
        </w:rPr>
        <w:t>understated.</w:t>
      </w:r>
    </w:p>
    <w:p w14:paraId="7B20FC51" w14:textId="77777777" w:rsidR="00FE36BE" w:rsidRPr="00FE36BE" w:rsidRDefault="00FE36BE" w:rsidP="00FE36BE">
      <w:pPr>
        <w:pStyle w:val="Para04"/>
        <w:rPr>
          <w:rFonts w:ascii="Candara" w:hAnsi="Candara"/>
          <w:sz w:val="22"/>
          <w:szCs w:val="22"/>
        </w:rPr>
      </w:pPr>
      <w:r w:rsidRPr="00FE36BE">
        <w:rPr>
          <w:rFonts w:ascii="Candara" w:hAnsi="Candara"/>
          <w:sz w:val="22"/>
          <w:szCs w:val="22"/>
        </w:rPr>
        <w:t>Ending slavery, therefore, was not simply a matter of terminating an economic system. It was also the abolition of a social culture in which white persons had unrestricted social and sexual rights to black bodies and totalitarian powers over their lives.</w:t>
      </w:r>
    </w:p>
    <w:p w14:paraId="3B7CB447" w14:textId="77777777" w:rsidR="00FE36BE" w:rsidRPr="00FE36BE" w:rsidRDefault="00FE36BE" w:rsidP="00FE36BE">
      <w:pPr>
        <w:pStyle w:val="Para04"/>
        <w:rPr>
          <w:rFonts w:ascii="Candara" w:hAnsi="Candara"/>
          <w:sz w:val="22"/>
          <w:szCs w:val="22"/>
        </w:rPr>
      </w:pPr>
      <w:r w:rsidRPr="00FE36BE">
        <w:rPr>
          <w:rFonts w:ascii="Candara" w:hAnsi="Candara"/>
          <w:sz w:val="22"/>
          <w:szCs w:val="22"/>
        </w:rPr>
        <w:t>Many British slave owners were prepared to accept a reduction in profits before losing their right of total access to black bodies. The right to determine the life and death of black people had become engrained in the slave owner’s psyche. While it is compelling to suggest that a rational business person would not destroy productive property, the slave owners’ desire to exercise total social power often had that effect. The white race had become intoxicated with its power over Africans. This power constituted a psychological asset which did not respond rationally to market forces.</w:t>
      </w:r>
    </w:p>
    <w:p w14:paraId="3A1CC8C2" w14:textId="77777777" w:rsidR="00FE36BE" w:rsidRPr="00FE36BE" w:rsidRDefault="00FE36BE" w:rsidP="00FE36BE">
      <w:pPr>
        <w:pStyle w:val="Para04"/>
        <w:rPr>
          <w:rFonts w:ascii="Candara" w:hAnsi="Candara"/>
          <w:sz w:val="22"/>
          <w:szCs w:val="22"/>
        </w:rPr>
      </w:pPr>
      <w:r w:rsidRPr="00FE36BE">
        <w:rPr>
          <w:rFonts w:ascii="Candara" w:hAnsi="Candara"/>
          <w:sz w:val="22"/>
          <w:szCs w:val="22"/>
        </w:rPr>
        <w:t>Slavery was an intense social experience. Living in fear in the face of lurking death produced its own social expressions. But in the end, the enslaved were property, and when the British state moved to use its legislative power to impinge upon rights that were considered derivative, citizens had reasons to expect compensation. This argument took centre stage and pushed aside the notion posited by George Canning, in 1826, that slavery was a “common crime” for which slave owners should be censored, not compensated.</w:t>
      </w:r>
      <w:bookmarkStart w:id="23" w:name="cue_242_301"/>
      <w:bookmarkEnd w:id="23"/>
      <w:r w:rsidRPr="00FE36BE">
        <w:rPr>
          <w:rFonts w:ascii="Candara" w:hAnsi="Candara"/>
          <w:sz w:val="22"/>
          <w:szCs w:val="22"/>
        </w:rPr>
        <w:fldChar w:fldCharType="begin"/>
      </w:r>
      <w:r w:rsidRPr="00FE36BE">
        <w:rPr>
          <w:rFonts w:ascii="Candara" w:hAnsi="Candara"/>
          <w:sz w:val="22"/>
          <w:szCs w:val="22"/>
        </w:rPr>
        <w:instrText xml:space="preserve"> HYPERLINK \l "note_242_301" \h </w:instrText>
      </w:r>
      <w:r w:rsidRPr="00FE36BE">
        <w:rPr>
          <w:rFonts w:ascii="Candara" w:hAnsi="Candara"/>
          <w:sz w:val="22"/>
          <w:szCs w:val="22"/>
        </w:rPr>
        <w:fldChar w:fldCharType="separate"/>
      </w:r>
      <w:r w:rsidRPr="00FE36BE">
        <w:rPr>
          <w:rStyle w:val="09Text"/>
          <w:rFonts w:ascii="Candara" w:hAnsi="Candara"/>
          <w:sz w:val="16"/>
          <w:szCs w:val="16"/>
        </w:rPr>
        <w:t>4</w:t>
      </w:r>
      <w:r w:rsidRPr="00FE36BE">
        <w:rPr>
          <w:rStyle w:val="09Text"/>
          <w:rFonts w:ascii="Candara" w:hAnsi="Candara"/>
          <w:sz w:val="16"/>
          <w:szCs w:val="16"/>
        </w:rPr>
        <w:fldChar w:fldCharType="end"/>
      </w:r>
    </w:p>
    <w:p w14:paraId="7D4E8075" w14:textId="77777777" w:rsidR="00FE36BE" w:rsidRPr="00FE36BE" w:rsidRDefault="00FE36BE" w:rsidP="00FE36BE">
      <w:pPr>
        <w:pStyle w:val="Para04"/>
        <w:rPr>
          <w:rFonts w:ascii="Candara" w:hAnsi="Candara"/>
          <w:sz w:val="22"/>
          <w:szCs w:val="22"/>
        </w:rPr>
      </w:pPr>
      <w:r w:rsidRPr="00FE36BE">
        <w:rPr>
          <w:rFonts w:ascii="Candara" w:hAnsi="Candara"/>
          <w:sz w:val="22"/>
          <w:szCs w:val="22"/>
        </w:rPr>
        <w:t>While a few politicians did admit that slavery was a “national crime”, more were comfortable with the idea of it as a “national sin”.</w:t>
      </w:r>
      <w:bookmarkStart w:id="24" w:name="cue_242_302"/>
      <w:bookmarkEnd w:id="24"/>
      <w:r w:rsidRPr="00FE36BE">
        <w:rPr>
          <w:rFonts w:ascii="Candara" w:hAnsi="Candara"/>
          <w:sz w:val="22"/>
          <w:szCs w:val="22"/>
        </w:rPr>
        <w:fldChar w:fldCharType="begin"/>
      </w:r>
      <w:r w:rsidRPr="00FE36BE">
        <w:rPr>
          <w:rFonts w:ascii="Candara" w:hAnsi="Candara"/>
          <w:sz w:val="22"/>
          <w:szCs w:val="22"/>
        </w:rPr>
        <w:instrText xml:space="preserve"> HYPERLINK \l "note_242_302" \h </w:instrText>
      </w:r>
      <w:r w:rsidRPr="00FE36BE">
        <w:rPr>
          <w:rFonts w:ascii="Candara" w:hAnsi="Candara"/>
          <w:sz w:val="22"/>
          <w:szCs w:val="22"/>
        </w:rPr>
        <w:fldChar w:fldCharType="separate"/>
      </w:r>
      <w:r w:rsidRPr="00FE36BE">
        <w:rPr>
          <w:rStyle w:val="09Text"/>
          <w:rFonts w:ascii="Candara" w:hAnsi="Candara"/>
          <w:sz w:val="16"/>
          <w:szCs w:val="16"/>
        </w:rPr>
        <w:t>5</w:t>
      </w:r>
      <w:r w:rsidRPr="00FE36BE">
        <w:rPr>
          <w:rStyle w:val="09Text"/>
          <w:rFonts w:ascii="Candara" w:hAnsi="Candara"/>
          <w:sz w:val="16"/>
          <w:szCs w:val="16"/>
        </w:rPr>
        <w:fldChar w:fldCharType="end"/>
      </w:r>
      <w:r w:rsidRPr="00FE36BE">
        <w:rPr>
          <w:rFonts w:ascii="Candara" w:hAnsi="Candara"/>
          <w:sz w:val="22"/>
          <w:szCs w:val="22"/>
        </w:rPr>
        <w:t xml:space="preserve"> Nonetheless, as politicians, they imposed upon the British Parliament the perspective that emancipation was an attack upon the property rights of British citizens and constituted a breach of social justice. As slave owners, these politicians, ironically, were vociferous users of the term “social justice” in the emancipation discourse as it related to their rights in enslaved property. Africans, they maintained, were non-human chattels and not entitled to be the subject of a debate on freedom and liberty.</w:t>
      </w:r>
    </w:p>
    <w:p w14:paraId="47A2FB5E" w14:textId="77777777" w:rsidR="00FE36BE" w:rsidRPr="00FE36BE" w:rsidRDefault="00FE36BE" w:rsidP="00FE36BE">
      <w:pPr>
        <w:pStyle w:val="Para04"/>
        <w:rPr>
          <w:rFonts w:ascii="Candara" w:hAnsi="Candara"/>
          <w:sz w:val="22"/>
          <w:szCs w:val="22"/>
        </w:rPr>
      </w:pPr>
      <w:r w:rsidRPr="00FE36BE">
        <w:rPr>
          <w:rFonts w:ascii="Candara" w:hAnsi="Candara"/>
          <w:sz w:val="22"/>
          <w:szCs w:val="22"/>
        </w:rPr>
        <w:t xml:space="preserve">The British state had its own specific financial interest in defending the sanctity of property rights in blacks as a paramount legal principle. The state was a major direct investor in enslaved Africans and stood to suffer a significant financial loss. The government, then, played the game on both sides: as a major slave owner and as the abolitionist. The issue, therefore, was wider than the notion of the sanctity of property. It was ultimately about the role of the state in enhancing economy and society. Slavery, all recognized, </w:t>
      </w:r>
      <w:bookmarkStart w:id="25" w:name="Anchor_2852"/>
      <w:bookmarkStart w:id="26" w:name="Anchor_2749"/>
      <w:bookmarkStart w:id="27" w:name="Anchor_2745"/>
      <w:bookmarkStart w:id="28" w:name="Anchor_2411"/>
      <w:bookmarkStart w:id="29" w:name="Anchor_2239"/>
      <w:bookmarkStart w:id="30" w:name="Anchor_2219"/>
      <w:bookmarkStart w:id="31" w:name="Anchor_2062"/>
      <w:bookmarkStart w:id="32" w:name="Anchor_1867"/>
      <w:bookmarkStart w:id="33" w:name="Anchor_1799"/>
      <w:bookmarkStart w:id="34" w:name="Anchor_1643"/>
      <w:bookmarkStart w:id="35" w:name="Anchor_1602"/>
      <w:bookmarkStart w:id="36" w:name="Anchor_1300"/>
      <w:bookmarkStart w:id="37" w:name="Anchor_1287"/>
      <w:bookmarkStart w:id="38" w:name="Anchor_917"/>
      <w:bookmarkEnd w:id="25"/>
      <w:bookmarkEnd w:id="26"/>
      <w:bookmarkEnd w:id="27"/>
      <w:bookmarkEnd w:id="28"/>
      <w:bookmarkEnd w:id="29"/>
      <w:bookmarkEnd w:id="30"/>
      <w:bookmarkEnd w:id="31"/>
      <w:bookmarkEnd w:id="32"/>
      <w:bookmarkEnd w:id="33"/>
      <w:bookmarkEnd w:id="34"/>
      <w:bookmarkEnd w:id="35"/>
      <w:bookmarkEnd w:id="36"/>
      <w:bookmarkEnd w:id="37"/>
      <w:bookmarkEnd w:id="38"/>
      <w:r w:rsidRPr="00FE36BE">
        <w:rPr>
          <w:rFonts w:ascii="Candara" w:hAnsi="Candara"/>
          <w:sz w:val="22"/>
          <w:szCs w:val="22"/>
        </w:rPr>
        <w:t>was central to the civilization that the British had imagined and built into an empire.</w:t>
      </w:r>
    </w:p>
    <w:p w14:paraId="52923085" w14:textId="77777777" w:rsidR="00FE36BE" w:rsidRPr="00FE36BE" w:rsidRDefault="00FE36BE" w:rsidP="00FE36BE">
      <w:pPr>
        <w:pStyle w:val="Para04"/>
        <w:rPr>
          <w:rFonts w:ascii="Candara" w:hAnsi="Candara"/>
          <w:sz w:val="22"/>
          <w:szCs w:val="22"/>
        </w:rPr>
      </w:pPr>
      <w:r w:rsidRPr="00FE36BE">
        <w:rPr>
          <w:rFonts w:ascii="Candara" w:hAnsi="Candara"/>
          <w:sz w:val="22"/>
          <w:szCs w:val="22"/>
        </w:rPr>
        <w:t>An act of Parliament that abolished slavery would therefore test the laws of private property as they related to the rights in owning enslaved Africans, society’s ideological belief that black people were first and foremost non-human, and public opinion with regard to who was entitled to compensation. The slave owners understood that the British government had long established a pact with them in securing and protecting their property rights in humans.</w:t>
      </w:r>
      <w:bookmarkStart w:id="39" w:name="cue_242_303"/>
      <w:bookmarkEnd w:id="39"/>
      <w:r w:rsidRPr="00FE36BE">
        <w:rPr>
          <w:rFonts w:ascii="Candara" w:hAnsi="Candara"/>
          <w:sz w:val="22"/>
          <w:szCs w:val="22"/>
        </w:rPr>
        <w:fldChar w:fldCharType="begin"/>
      </w:r>
      <w:r w:rsidRPr="00FE36BE">
        <w:rPr>
          <w:rFonts w:ascii="Candara" w:hAnsi="Candara"/>
          <w:sz w:val="22"/>
          <w:szCs w:val="22"/>
        </w:rPr>
        <w:instrText xml:space="preserve"> HYPERLINK \l "note_242_303" \h </w:instrText>
      </w:r>
      <w:r w:rsidRPr="00FE36BE">
        <w:rPr>
          <w:rFonts w:ascii="Candara" w:hAnsi="Candara"/>
          <w:sz w:val="22"/>
          <w:szCs w:val="22"/>
        </w:rPr>
        <w:fldChar w:fldCharType="separate"/>
      </w:r>
      <w:r w:rsidRPr="00FE36BE">
        <w:rPr>
          <w:rStyle w:val="09Text"/>
          <w:rFonts w:ascii="Candara" w:hAnsi="Candara"/>
          <w:sz w:val="16"/>
          <w:szCs w:val="16"/>
        </w:rPr>
        <w:t>6</w:t>
      </w:r>
      <w:r w:rsidRPr="00FE36BE">
        <w:rPr>
          <w:rStyle w:val="09Text"/>
          <w:rFonts w:ascii="Candara" w:hAnsi="Candara"/>
          <w:sz w:val="16"/>
          <w:szCs w:val="16"/>
        </w:rPr>
        <w:fldChar w:fldCharType="end"/>
      </w:r>
    </w:p>
    <w:p w14:paraId="4D5C4352" w14:textId="77777777" w:rsidR="00FE36BE" w:rsidRPr="00FE36BE" w:rsidRDefault="00FE36BE" w:rsidP="00FE36BE">
      <w:pPr>
        <w:pStyle w:val="Para04"/>
        <w:rPr>
          <w:rFonts w:ascii="Candara" w:hAnsi="Candara"/>
          <w:sz w:val="22"/>
          <w:szCs w:val="22"/>
        </w:rPr>
      </w:pPr>
      <w:r w:rsidRPr="00FE36BE">
        <w:rPr>
          <w:rFonts w:ascii="Candara" w:hAnsi="Candara"/>
          <w:sz w:val="22"/>
          <w:szCs w:val="22"/>
        </w:rPr>
        <w:t xml:space="preserve">Some slave owners understood this bond to be contractual. Augustus Beaumont, owner of a newspaper in Jamaica, made this point forcefully in his contribution to the compensation discussion: “The property in slaves which the British Parliament sold them, is in the rights, the </w:t>
      </w:r>
      <w:r w:rsidRPr="00FE36BE">
        <w:rPr>
          <w:rFonts w:ascii="Candara" w:hAnsi="Candara"/>
          <w:sz w:val="22"/>
          <w:szCs w:val="22"/>
        </w:rPr>
        <w:lastRenderedPageBreak/>
        <w:t>natural – the born rights of the Negro – a right to his labour – to all he can acquire, to the possession of him as a mere chattel – destitute of will – subject to absolute power. Cruel as this may be, it is the contract between Parliament and the Slave Owners.”</w:t>
      </w:r>
      <w:bookmarkStart w:id="40" w:name="cue_242_304"/>
      <w:bookmarkEnd w:id="40"/>
      <w:r w:rsidRPr="00FE36BE">
        <w:rPr>
          <w:rFonts w:ascii="Candara" w:hAnsi="Candara"/>
          <w:sz w:val="22"/>
          <w:szCs w:val="22"/>
        </w:rPr>
        <w:fldChar w:fldCharType="begin"/>
      </w:r>
      <w:r w:rsidRPr="00FE36BE">
        <w:rPr>
          <w:rFonts w:ascii="Candara" w:hAnsi="Candara"/>
          <w:sz w:val="22"/>
          <w:szCs w:val="22"/>
        </w:rPr>
        <w:instrText xml:space="preserve"> HYPERLINK \l "note_242_304" \h </w:instrText>
      </w:r>
      <w:r w:rsidRPr="00FE36BE">
        <w:rPr>
          <w:rFonts w:ascii="Candara" w:hAnsi="Candara"/>
          <w:sz w:val="22"/>
          <w:szCs w:val="22"/>
        </w:rPr>
        <w:fldChar w:fldCharType="separate"/>
      </w:r>
      <w:r w:rsidRPr="00FE36BE">
        <w:rPr>
          <w:rStyle w:val="09Text"/>
          <w:rFonts w:ascii="Candara" w:hAnsi="Candara"/>
          <w:sz w:val="16"/>
          <w:szCs w:val="16"/>
        </w:rPr>
        <w:t>7</w:t>
      </w:r>
      <w:r w:rsidRPr="00FE36BE">
        <w:rPr>
          <w:rStyle w:val="09Text"/>
          <w:rFonts w:ascii="Candara" w:hAnsi="Candara"/>
          <w:sz w:val="16"/>
          <w:szCs w:val="16"/>
        </w:rPr>
        <w:fldChar w:fldCharType="end"/>
      </w:r>
      <w:r w:rsidRPr="00FE36BE">
        <w:rPr>
          <w:rFonts w:ascii="Candara" w:hAnsi="Candara"/>
          <w:sz w:val="22"/>
          <w:szCs w:val="22"/>
        </w:rPr>
        <w:t xml:space="preserve"> The primacy of such a contract, between state and citizen, based on over two hundred years of conception and practice, brushed away opposing voices with its empirical and political force. Slave owners could not be robbed by the British state in an act of emancipation if it wished to maintain its credibility.</w:t>
      </w:r>
    </w:p>
    <w:p w14:paraId="678F74EE" w14:textId="77777777" w:rsidR="00FE36BE" w:rsidRPr="00FE36BE" w:rsidRDefault="00FE36BE" w:rsidP="00FE36BE">
      <w:pPr>
        <w:pStyle w:val="Para04"/>
        <w:rPr>
          <w:rFonts w:ascii="Candara" w:hAnsi="Candara"/>
          <w:sz w:val="22"/>
          <w:szCs w:val="22"/>
        </w:rPr>
      </w:pPr>
      <w:r w:rsidRPr="00FE36BE">
        <w:rPr>
          <w:rFonts w:ascii="Candara" w:hAnsi="Candara"/>
          <w:sz w:val="22"/>
          <w:szCs w:val="22"/>
        </w:rPr>
        <w:t>Freeing blacks, some slave owners argued, meant the legal recognition of their status as humans. Furthermore, and equally important, it meant the necessity of devising strategies to ensure British rule and the values of white supremacy in the colonies. For these reasons, the critics of emancipation argued, the new abolitionist policies of the British state were betraying all that was popularly understood as the British way of life.</w:t>
      </w:r>
    </w:p>
    <w:p w14:paraId="0585CDFE" w14:textId="77777777" w:rsidR="00FE36BE" w:rsidRPr="00FE36BE" w:rsidRDefault="00FE36BE" w:rsidP="00FE36BE">
      <w:pPr>
        <w:pStyle w:val="Para04"/>
        <w:rPr>
          <w:rFonts w:ascii="Candara" w:hAnsi="Candara"/>
          <w:sz w:val="22"/>
          <w:szCs w:val="22"/>
        </w:rPr>
      </w:pPr>
      <w:r w:rsidRPr="00FE36BE">
        <w:rPr>
          <w:rFonts w:ascii="Candara" w:hAnsi="Candara"/>
          <w:sz w:val="22"/>
          <w:szCs w:val="22"/>
        </w:rPr>
        <w:t>No one made these points more clearly than John Palmer, a former governor of the Bank of England, who looked at the issue of property rights in the enslaved as indispensable to the financial culture. Emancipation without reparation to slave owners, he said, “would endanger the whole frame of society. The property of the planter had been secured by a hundred acts of Parliament, and no Minister had a right to tamper with that property. (Hear! Hear!) It tended to shake the credit and confidence of the country.”</w:t>
      </w:r>
      <w:bookmarkStart w:id="41" w:name="cue_242_305"/>
      <w:bookmarkEnd w:id="41"/>
      <w:r w:rsidRPr="00FE36BE">
        <w:rPr>
          <w:rFonts w:ascii="Candara" w:hAnsi="Candara"/>
          <w:sz w:val="22"/>
          <w:szCs w:val="22"/>
        </w:rPr>
        <w:fldChar w:fldCharType="begin"/>
      </w:r>
      <w:r w:rsidRPr="00FE36BE">
        <w:rPr>
          <w:rFonts w:ascii="Candara" w:hAnsi="Candara"/>
          <w:sz w:val="22"/>
          <w:szCs w:val="22"/>
        </w:rPr>
        <w:instrText xml:space="preserve"> HYPERLINK \l "note_242_305" \h </w:instrText>
      </w:r>
      <w:r w:rsidRPr="00FE36BE">
        <w:rPr>
          <w:rFonts w:ascii="Candara" w:hAnsi="Candara"/>
          <w:sz w:val="22"/>
          <w:szCs w:val="22"/>
        </w:rPr>
        <w:fldChar w:fldCharType="separate"/>
      </w:r>
      <w:r w:rsidRPr="00FE36BE">
        <w:rPr>
          <w:rStyle w:val="09Text"/>
          <w:rFonts w:ascii="Candara" w:hAnsi="Candara"/>
          <w:sz w:val="16"/>
          <w:szCs w:val="16"/>
        </w:rPr>
        <w:t>8</w:t>
      </w:r>
      <w:r w:rsidRPr="00FE36BE">
        <w:rPr>
          <w:rStyle w:val="09Text"/>
          <w:rFonts w:ascii="Candara" w:hAnsi="Candara"/>
          <w:sz w:val="16"/>
          <w:szCs w:val="16"/>
        </w:rPr>
        <w:fldChar w:fldCharType="end"/>
      </w:r>
      <w:r w:rsidRPr="00FE36BE">
        <w:rPr>
          <w:rFonts w:ascii="Candara" w:hAnsi="Candara"/>
          <w:sz w:val="22"/>
          <w:szCs w:val="22"/>
        </w:rPr>
        <w:t xml:space="preserve"> The entire British economy, said Palmer, was tied up in the finance and credit surrounding property rights in Africans in the Caribbean. Slavery was at the core of the credit system that kept the British economy on an even keel. To tamper with enslaved blacks as property was to subvert the national economy </w:t>
      </w:r>
      <w:bookmarkStart w:id="42" w:name="Anchor_2917"/>
      <w:bookmarkStart w:id="43" w:name="Anchor_2853"/>
      <w:bookmarkStart w:id="44" w:name="Anchor_2746"/>
      <w:bookmarkStart w:id="45" w:name="Anchor_2735"/>
      <w:bookmarkStart w:id="46" w:name="Anchor_2703"/>
      <w:bookmarkStart w:id="47" w:name="Anchor_2412"/>
      <w:bookmarkStart w:id="48" w:name="Anchor_2220"/>
      <w:bookmarkStart w:id="49" w:name="Anchor_2099"/>
      <w:bookmarkStart w:id="50" w:name="Anchor_1396"/>
      <w:bookmarkStart w:id="51" w:name="Anchor_1288"/>
      <w:bookmarkStart w:id="52" w:name="Anchor_918"/>
      <w:bookmarkEnd w:id="42"/>
      <w:bookmarkEnd w:id="43"/>
      <w:bookmarkEnd w:id="44"/>
      <w:bookmarkEnd w:id="45"/>
      <w:bookmarkEnd w:id="46"/>
      <w:bookmarkEnd w:id="47"/>
      <w:bookmarkEnd w:id="48"/>
      <w:bookmarkEnd w:id="49"/>
      <w:bookmarkEnd w:id="50"/>
      <w:bookmarkEnd w:id="51"/>
      <w:bookmarkEnd w:id="52"/>
      <w:r w:rsidRPr="00FE36BE">
        <w:rPr>
          <w:rFonts w:ascii="Candara" w:hAnsi="Candara"/>
          <w:sz w:val="22"/>
          <w:szCs w:val="22"/>
        </w:rPr>
        <w:t>– and the City of London understood this well.</w:t>
      </w:r>
    </w:p>
    <w:p w14:paraId="793C4297" w14:textId="77777777" w:rsidR="00FE36BE" w:rsidRPr="00FE36BE" w:rsidRDefault="00FE36BE" w:rsidP="00FE36BE">
      <w:pPr>
        <w:pStyle w:val="Para01"/>
        <w:rPr>
          <w:rFonts w:ascii="Candara" w:hAnsi="Candara"/>
          <w:sz w:val="22"/>
          <w:szCs w:val="22"/>
        </w:rPr>
      </w:pPr>
      <w:r w:rsidRPr="00FE36BE">
        <w:rPr>
          <w:rFonts w:ascii="Candara" w:hAnsi="Candara"/>
          <w:sz w:val="22"/>
          <w:szCs w:val="22"/>
        </w:rPr>
        <w:t>Palmer was speaking for the City, and the City’s voice in Parliament was powerful. Pay the slave owners, the City cried, and let the government, as party to the breach of property rights, fund the reparation. There was no choice in the matter, stated Viscount Howick: “However large the claim of the West Indians for compensation may be, I do not hesitate to say that it should not stand in my way for a moment, as weighed against the importance of putting an end to the sufferings of the slaves . . . the victims of that guilt must not continue for one hour to suffer, while we are haggling about pounds, shillings and pence.”</w:t>
      </w:r>
      <w:bookmarkStart w:id="53" w:name="cue_242_306"/>
      <w:bookmarkEnd w:id="53"/>
      <w:r w:rsidRPr="00FE36BE">
        <w:rPr>
          <w:rFonts w:ascii="Candara" w:hAnsi="Candara"/>
          <w:sz w:val="22"/>
          <w:szCs w:val="22"/>
        </w:rPr>
        <w:fldChar w:fldCharType="begin"/>
      </w:r>
      <w:r w:rsidRPr="00FE36BE">
        <w:rPr>
          <w:rFonts w:ascii="Candara" w:hAnsi="Candara"/>
          <w:sz w:val="22"/>
          <w:szCs w:val="22"/>
        </w:rPr>
        <w:instrText xml:space="preserve"> HYPERLINK \l "note_242_306" \h </w:instrText>
      </w:r>
      <w:r w:rsidRPr="00FE36BE">
        <w:rPr>
          <w:rFonts w:ascii="Candara" w:hAnsi="Candara"/>
          <w:sz w:val="22"/>
          <w:szCs w:val="22"/>
        </w:rPr>
        <w:fldChar w:fldCharType="separate"/>
      </w:r>
      <w:r w:rsidRPr="00FE36BE">
        <w:rPr>
          <w:rStyle w:val="09Text"/>
          <w:rFonts w:ascii="Candara" w:hAnsi="Candara"/>
          <w:sz w:val="16"/>
          <w:szCs w:val="16"/>
        </w:rPr>
        <w:t>9</w:t>
      </w:r>
      <w:r w:rsidRPr="00FE36BE">
        <w:rPr>
          <w:rStyle w:val="09Text"/>
          <w:rFonts w:ascii="Candara" w:hAnsi="Candara"/>
          <w:sz w:val="16"/>
          <w:szCs w:val="16"/>
        </w:rPr>
        <w:fldChar w:fldCharType="end"/>
      </w:r>
    </w:p>
    <w:p w14:paraId="17D39956" w14:textId="77777777" w:rsidR="00FE36BE" w:rsidRPr="00FE36BE" w:rsidRDefault="00FE36BE" w:rsidP="00FE36BE">
      <w:pPr>
        <w:pStyle w:val="Para01"/>
        <w:rPr>
          <w:rFonts w:ascii="Candara" w:hAnsi="Candara"/>
          <w:sz w:val="22"/>
          <w:szCs w:val="22"/>
        </w:rPr>
      </w:pPr>
      <w:r w:rsidRPr="00FE36BE">
        <w:rPr>
          <w:rFonts w:ascii="Candara" w:hAnsi="Candara"/>
          <w:sz w:val="22"/>
          <w:szCs w:val="22"/>
        </w:rPr>
        <w:t>Parliament expressed less passion for the humanity and future welfare of the enslaved Africans in the Caribbean. The blacks were told to understand that, as chattels, they had no legal cause, and as property they had no right to a political plea. They were to be silent in their enslavement while the British state and its citizens decided “who” or “what” they were and how best to treat them.</w:t>
      </w:r>
    </w:p>
    <w:p w14:paraId="2BAE4319"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 grand revolt of the enslaved in Jamaica in 1831 may have said enough to Parliament about the matter of black silence and stillness, but few persons, Thomas Clarkson being the noble exception, were prepared to press the argument that the enslaved, not the enslaver, should receive reparations. As early as 1807, Clarkson was an advocate of this idea. He wrote, “That compensation is due somewhere there is no doubt. But from whom is it due? Is it due from you to Africa! . . . In all other countries, except in defenceless Africa, or the colonies of nations planted on the discovery of the New World, you would have been condemned to death had you gone there on the same errand.”</w:t>
      </w:r>
      <w:bookmarkStart w:id="54" w:name="cue_242_307"/>
      <w:bookmarkEnd w:id="54"/>
      <w:r w:rsidRPr="00FE36BE">
        <w:rPr>
          <w:rFonts w:ascii="Candara" w:hAnsi="Candara"/>
          <w:sz w:val="22"/>
          <w:szCs w:val="22"/>
        </w:rPr>
        <w:fldChar w:fldCharType="begin"/>
      </w:r>
      <w:r w:rsidRPr="00FE36BE">
        <w:rPr>
          <w:rFonts w:ascii="Candara" w:hAnsi="Candara"/>
          <w:sz w:val="22"/>
          <w:szCs w:val="22"/>
        </w:rPr>
        <w:instrText xml:space="preserve"> HYPERLINK \l "note_242_307" \h </w:instrText>
      </w:r>
      <w:r w:rsidRPr="00FE36BE">
        <w:rPr>
          <w:rFonts w:ascii="Candara" w:hAnsi="Candara"/>
          <w:sz w:val="22"/>
          <w:szCs w:val="22"/>
        </w:rPr>
        <w:fldChar w:fldCharType="separate"/>
      </w:r>
      <w:r w:rsidRPr="00FE36BE">
        <w:rPr>
          <w:rStyle w:val="09Text"/>
          <w:rFonts w:ascii="Candara" w:hAnsi="Candara"/>
          <w:sz w:val="16"/>
          <w:szCs w:val="16"/>
        </w:rPr>
        <w:t>10</w:t>
      </w:r>
      <w:r w:rsidRPr="00FE36BE">
        <w:rPr>
          <w:rStyle w:val="09Text"/>
          <w:rFonts w:ascii="Candara" w:hAnsi="Candara"/>
          <w:sz w:val="16"/>
          <w:szCs w:val="16"/>
        </w:rPr>
        <w:fldChar w:fldCharType="end"/>
      </w:r>
    </w:p>
    <w:p w14:paraId="5750DB2A" w14:textId="77777777" w:rsidR="00FE36BE" w:rsidRPr="00FE36BE" w:rsidRDefault="00FE36BE" w:rsidP="00FE36BE">
      <w:pPr>
        <w:pStyle w:val="Para01"/>
        <w:rPr>
          <w:rFonts w:ascii="Candara" w:hAnsi="Candara"/>
          <w:sz w:val="22"/>
          <w:szCs w:val="22"/>
        </w:rPr>
      </w:pPr>
      <w:r w:rsidRPr="00FE36BE">
        <w:rPr>
          <w:rFonts w:ascii="Candara" w:hAnsi="Candara"/>
          <w:sz w:val="22"/>
          <w:szCs w:val="22"/>
        </w:rPr>
        <w:t xml:space="preserve">The discourse on reparations, Clarkson tells us, was essentially one about power relations. In history it is the influential who receive reparations. The weak merely talk about it. The slave owners were a mighty powerful group in the British Parliament, the cities and civil society. The enslaved had advocates in these forums, but their ability to shape political policy and their economic influence within the economy was marginal and ineffective. There were also those who argued that the enslaved were victors and should instead pay reparations to their enslavers in exchange </w:t>
      </w:r>
      <w:r w:rsidRPr="00FE36BE">
        <w:rPr>
          <w:rFonts w:ascii="Candara" w:hAnsi="Candara"/>
          <w:sz w:val="22"/>
          <w:szCs w:val="22"/>
        </w:rPr>
        <w:lastRenderedPageBreak/>
        <w:t>for their freedom. The injustice of emancipation, they said, is the enslavers’ for their loss of investment rights.</w:t>
      </w:r>
    </w:p>
    <w:p w14:paraId="53F4C63B" w14:textId="77777777" w:rsidR="00FE36BE" w:rsidRPr="00FE36BE" w:rsidRDefault="00FE36BE" w:rsidP="00FE36BE">
      <w:pPr>
        <w:pStyle w:val="Para04"/>
        <w:rPr>
          <w:rFonts w:ascii="Candara" w:hAnsi="Candara"/>
          <w:sz w:val="22"/>
          <w:szCs w:val="22"/>
        </w:rPr>
      </w:pPr>
      <w:r w:rsidRPr="00FE36BE">
        <w:rPr>
          <w:rFonts w:ascii="Candara" w:hAnsi="Candara"/>
          <w:sz w:val="22"/>
          <w:szCs w:val="22"/>
        </w:rPr>
        <w:t xml:space="preserve">The identification of the slave owner as victim was the basis of the emancipation discussion in Parliament. The only serious matter was “who” </w:t>
      </w:r>
      <w:bookmarkStart w:id="55" w:name="Anchor_2924"/>
      <w:bookmarkStart w:id="56" w:name="Anchor_1657"/>
      <w:bookmarkStart w:id="57" w:name="Anchor_1440"/>
      <w:bookmarkStart w:id="58" w:name="Anchor_1371"/>
      <w:bookmarkStart w:id="59" w:name="Anchor_1289"/>
      <w:bookmarkStart w:id="60" w:name="Anchor_1139"/>
      <w:bookmarkEnd w:id="55"/>
      <w:bookmarkEnd w:id="56"/>
      <w:bookmarkEnd w:id="57"/>
      <w:bookmarkEnd w:id="58"/>
      <w:bookmarkEnd w:id="59"/>
      <w:bookmarkEnd w:id="60"/>
      <w:r w:rsidRPr="00FE36BE">
        <w:rPr>
          <w:rFonts w:ascii="Candara" w:hAnsi="Candara"/>
          <w:sz w:val="22"/>
          <w:szCs w:val="22"/>
        </w:rPr>
        <w:t>should compensate the slave owner – the state or the emancipated. Slave owners examined this choice and recognized that the better option was the state. By pressing the point that “someone” should pay, slave owners pushed the state into a corner. Member of Parliament William Hankey argued that the “enslaved could not owe compensation”, but the “nation does”. The reason he gave is that “slavery is a national act” with “national consequences”. He made reference to taxation of £800 he paid to the state on the acquisition of his slave estate and suggested that this constituted evidence of public enrichment for slavery.</w:t>
      </w:r>
      <w:bookmarkStart w:id="61" w:name="cue_242_308"/>
      <w:bookmarkEnd w:id="61"/>
      <w:r w:rsidRPr="00FE36BE">
        <w:rPr>
          <w:rFonts w:ascii="Candara" w:hAnsi="Candara"/>
          <w:sz w:val="22"/>
          <w:szCs w:val="22"/>
        </w:rPr>
        <w:fldChar w:fldCharType="begin"/>
      </w:r>
      <w:r w:rsidRPr="00FE36BE">
        <w:rPr>
          <w:rFonts w:ascii="Candara" w:hAnsi="Candara"/>
          <w:sz w:val="22"/>
          <w:szCs w:val="22"/>
        </w:rPr>
        <w:instrText xml:space="preserve"> HYPERLINK \l "note_242_308" \h </w:instrText>
      </w:r>
      <w:r w:rsidRPr="00FE36BE">
        <w:rPr>
          <w:rFonts w:ascii="Candara" w:hAnsi="Candara"/>
          <w:sz w:val="22"/>
          <w:szCs w:val="22"/>
        </w:rPr>
        <w:fldChar w:fldCharType="separate"/>
      </w:r>
      <w:r w:rsidRPr="00FE36BE">
        <w:rPr>
          <w:rStyle w:val="09Text"/>
          <w:rFonts w:ascii="Candara" w:hAnsi="Candara"/>
          <w:sz w:val="16"/>
          <w:szCs w:val="16"/>
        </w:rPr>
        <w:t>11</w:t>
      </w:r>
      <w:r w:rsidRPr="00FE36BE">
        <w:rPr>
          <w:rStyle w:val="09Text"/>
          <w:rFonts w:ascii="Candara" w:hAnsi="Candara"/>
          <w:sz w:val="16"/>
          <w:szCs w:val="16"/>
        </w:rPr>
        <w:fldChar w:fldCharType="end"/>
      </w:r>
    </w:p>
    <w:p w14:paraId="70659574" w14:textId="77777777" w:rsidR="00FE36BE" w:rsidRPr="00FE36BE" w:rsidRDefault="00FE36BE" w:rsidP="00FE36BE">
      <w:pPr>
        <w:pStyle w:val="Para04"/>
        <w:rPr>
          <w:rFonts w:ascii="Candara" w:hAnsi="Candara"/>
          <w:sz w:val="22"/>
          <w:szCs w:val="22"/>
        </w:rPr>
      </w:pPr>
      <w:r w:rsidRPr="00FE36BE">
        <w:rPr>
          <w:rFonts w:ascii="Candara" w:hAnsi="Candara"/>
          <w:sz w:val="22"/>
          <w:szCs w:val="22"/>
        </w:rPr>
        <w:t>On 28 August 1833, the British Parliament passed the Slavery Abolition Act. It contained the expected victory of the slave owners, who would be compensated for the infringement of their property rights in enslaved blacks. The law, titled “An Act for the abolition of slavery throughout the British colonies, for promoting the industry of the manumitted slaves, and for compensating the persons hitherto entitled to the services of such slaves”, also bound the emancipated to their owners for another period of four to six years.</w:t>
      </w:r>
    </w:p>
    <w:p w14:paraId="0423830C" w14:textId="77777777" w:rsidR="00FE36BE" w:rsidRPr="00FE36BE" w:rsidRDefault="00FE36BE" w:rsidP="00FE36BE">
      <w:pPr>
        <w:pStyle w:val="Para04"/>
        <w:rPr>
          <w:rFonts w:ascii="Candara" w:hAnsi="Candara"/>
          <w:sz w:val="22"/>
          <w:szCs w:val="22"/>
        </w:rPr>
      </w:pPr>
      <w:r w:rsidRPr="00FE36BE">
        <w:rPr>
          <w:rFonts w:ascii="Candara" w:hAnsi="Candara"/>
          <w:sz w:val="22"/>
          <w:szCs w:val="22"/>
        </w:rPr>
        <w:t xml:space="preserve">The emancipated, then, after 250 years of enslavement, did not receive the courtesy of a compensatory clause in the act. They were assigned to further bondage for a period conceived as the necessary transition for their “owners” to become accustomed to being non-owners. </w:t>
      </w:r>
    </w:p>
    <w:p w14:paraId="6167193B" w14:textId="77777777" w:rsidR="00FE36BE" w:rsidRPr="00FE36BE" w:rsidRDefault="00FE36BE" w:rsidP="00FE36BE">
      <w:pPr>
        <w:pStyle w:val="Para04"/>
        <w:rPr>
          <w:rFonts w:ascii="Candara" w:hAnsi="Candara"/>
          <w:sz w:val="22"/>
          <w:szCs w:val="22"/>
        </w:rPr>
      </w:pPr>
      <w:r w:rsidRPr="00FE36BE">
        <w:rPr>
          <w:rFonts w:ascii="Candara" w:hAnsi="Candara"/>
          <w:sz w:val="22"/>
          <w:szCs w:val="22"/>
        </w:rPr>
        <w:t>Critically, the payment to slave owners was a notable example of parliamentarians helping themselves. Most members of the Commons and Lords were financial and social beneficiaries of slavery, in one way or another. The government itself was a major slave owner. In 1824, according to Butler, “thirty-nine members of Parliament identified with the West Indian cause. Eleven West Indian merchants, including John Gladstone and Joseph Marryat, represented London and the outports, while the remaining twenty-eight members were the absentee owners of colonial estates”.</w:t>
      </w:r>
      <w:bookmarkStart w:id="62" w:name="cue_242_309"/>
      <w:bookmarkEnd w:id="62"/>
      <w:r w:rsidRPr="00FE36BE">
        <w:rPr>
          <w:rFonts w:ascii="Candara" w:hAnsi="Candara"/>
          <w:sz w:val="22"/>
          <w:szCs w:val="22"/>
        </w:rPr>
        <w:fldChar w:fldCharType="begin"/>
      </w:r>
      <w:r w:rsidRPr="00FE36BE">
        <w:rPr>
          <w:rFonts w:ascii="Candara" w:hAnsi="Candara"/>
          <w:sz w:val="22"/>
          <w:szCs w:val="22"/>
        </w:rPr>
        <w:instrText xml:space="preserve"> HYPERLINK \l "note_242_309" \h </w:instrText>
      </w:r>
      <w:r w:rsidRPr="00FE36BE">
        <w:rPr>
          <w:rFonts w:ascii="Candara" w:hAnsi="Candara"/>
          <w:sz w:val="22"/>
          <w:szCs w:val="22"/>
        </w:rPr>
        <w:fldChar w:fldCharType="separate"/>
      </w:r>
      <w:r w:rsidRPr="00FE36BE">
        <w:rPr>
          <w:rStyle w:val="09Text"/>
          <w:rFonts w:ascii="Candara" w:hAnsi="Candara"/>
          <w:sz w:val="16"/>
          <w:szCs w:val="16"/>
        </w:rPr>
        <w:t>12</w:t>
      </w:r>
      <w:r w:rsidRPr="00FE36BE">
        <w:rPr>
          <w:rStyle w:val="09Text"/>
          <w:rFonts w:ascii="Candara" w:hAnsi="Candara"/>
          <w:sz w:val="16"/>
          <w:szCs w:val="16"/>
        </w:rPr>
        <w:fldChar w:fldCharType="end"/>
      </w:r>
      <w:r w:rsidRPr="00FE36BE">
        <w:rPr>
          <w:rFonts w:ascii="Candara" w:hAnsi="Candara"/>
          <w:sz w:val="22"/>
          <w:szCs w:val="22"/>
        </w:rPr>
        <w:t xml:space="preserve"> Gladstone was a Liverpool merchant, while Marryat was a London agent. They “linked their political and trading activities to their positions as members of Parliament”. Gladstone had investments in seven estates in Guiana and six in Jamaica. He also “exerted considerable influence over George Canning, the foreign minister, and member of Parliament for Liverpool”.</w:t>
      </w:r>
      <w:bookmarkStart w:id="63" w:name="cue_242_310"/>
      <w:bookmarkEnd w:id="63"/>
      <w:r w:rsidRPr="00FE36BE">
        <w:rPr>
          <w:rFonts w:ascii="Candara" w:hAnsi="Candara"/>
          <w:sz w:val="22"/>
          <w:szCs w:val="22"/>
        </w:rPr>
        <w:fldChar w:fldCharType="begin"/>
      </w:r>
      <w:r w:rsidRPr="00FE36BE">
        <w:rPr>
          <w:rFonts w:ascii="Candara" w:hAnsi="Candara"/>
          <w:sz w:val="22"/>
          <w:szCs w:val="22"/>
        </w:rPr>
        <w:instrText xml:space="preserve"> HYPERLINK \l "note_242_310" \h </w:instrText>
      </w:r>
      <w:r w:rsidRPr="00FE36BE">
        <w:rPr>
          <w:rFonts w:ascii="Candara" w:hAnsi="Candara"/>
          <w:sz w:val="22"/>
          <w:szCs w:val="22"/>
        </w:rPr>
        <w:fldChar w:fldCharType="separate"/>
      </w:r>
      <w:r w:rsidRPr="00FE36BE">
        <w:rPr>
          <w:rStyle w:val="09Text"/>
          <w:rFonts w:ascii="Candara" w:hAnsi="Candara"/>
          <w:sz w:val="16"/>
          <w:szCs w:val="16"/>
        </w:rPr>
        <w:t>13</w:t>
      </w:r>
      <w:r w:rsidRPr="00FE36BE">
        <w:rPr>
          <w:rStyle w:val="09Text"/>
          <w:rFonts w:ascii="Candara" w:hAnsi="Candara"/>
          <w:sz w:val="16"/>
          <w:szCs w:val="16"/>
        </w:rPr>
        <w:fldChar w:fldCharType="end"/>
      </w:r>
    </w:p>
    <w:p w14:paraId="4B3FDD46" w14:textId="77777777" w:rsidR="00FE36BE" w:rsidRPr="00FE36BE" w:rsidRDefault="00FE36BE" w:rsidP="00FE36BE">
      <w:pPr>
        <w:pStyle w:val="Para04"/>
        <w:rPr>
          <w:rFonts w:ascii="Candara" w:hAnsi="Candara"/>
          <w:sz w:val="22"/>
          <w:szCs w:val="22"/>
        </w:rPr>
      </w:pPr>
      <w:r w:rsidRPr="00FE36BE">
        <w:rPr>
          <w:rFonts w:ascii="Candara" w:hAnsi="Candara"/>
          <w:sz w:val="22"/>
          <w:szCs w:val="22"/>
        </w:rPr>
        <w:t xml:space="preserve">Then there were other parliamentarians, such as Neill Malcolm, member of Parliament for Boston, who “owned nine estates and over 2,080 slaves in Jamaica”. Lord Seaford was recognized as the leader of West India business in </w:t>
      </w:r>
      <w:bookmarkStart w:id="64" w:name="Anchor_1566"/>
      <w:bookmarkEnd w:id="64"/>
      <w:r w:rsidRPr="00FE36BE">
        <w:rPr>
          <w:rFonts w:ascii="Candara" w:hAnsi="Candara"/>
          <w:sz w:val="22"/>
          <w:szCs w:val="22"/>
        </w:rPr>
        <w:t>the Commons. He owned five Jamaican plantations. Among the peers who owned West Indian slave plantations were “the Earl of Harewood, with three estates in Barbados, two in Jamaica”, which were stocked with over 1,250 enslaved persons, as well as the “Marquis of Sligo, later Governor of Jamaica, with two Jamaican estates, and the Duke of Cleveland, who owned one estate and 230 enslaved persons in Barbados”.</w:t>
      </w:r>
      <w:bookmarkStart w:id="65" w:name="cue_242_311"/>
      <w:bookmarkEnd w:id="65"/>
      <w:r w:rsidRPr="00FE36BE">
        <w:rPr>
          <w:rFonts w:ascii="Candara" w:hAnsi="Candara"/>
          <w:sz w:val="22"/>
          <w:szCs w:val="22"/>
        </w:rPr>
        <w:fldChar w:fldCharType="begin"/>
      </w:r>
      <w:r w:rsidRPr="00FE36BE">
        <w:rPr>
          <w:rFonts w:ascii="Candara" w:hAnsi="Candara"/>
          <w:sz w:val="22"/>
          <w:szCs w:val="22"/>
        </w:rPr>
        <w:instrText xml:space="preserve"> HYPERLINK \l "note_242_311" \h </w:instrText>
      </w:r>
      <w:r w:rsidRPr="00FE36BE">
        <w:rPr>
          <w:rFonts w:ascii="Candara" w:hAnsi="Candara"/>
          <w:sz w:val="22"/>
          <w:szCs w:val="22"/>
        </w:rPr>
        <w:fldChar w:fldCharType="separate"/>
      </w:r>
      <w:r w:rsidRPr="00FE36BE">
        <w:rPr>
          <w:rStyle w:val="09Text"/>
          <w:rFonts w:ascii="Candara" w:hAnsi="Candara"/>
          <w:sz w:val="16"/>
          <w:szCs w:val="16"/>
        </w:rPr>
        <w:t>14</w:t>
      </w:r>
      <w:r w:rsidRPr="00FE36BE">
        <w:rPr>
          <w:rStyle w:val="09Text"/>
          <w:rFonts w:ascii="Candara" w:hAnsi="Candara"/>
          <w:sz w:val="16"/>
          <w:szCs w:val="16"/>
        </w:rPr>
        <w:fldChar w:fldCharType="end"/>
      </w:r>
    </w:p>
    <w:p w14:paraId="6C18B565"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There was no surprise, then, that the act provided for a massive reparatory sum, plus interest from 1 August 1834, to be paid to themselves as owners of enslaved blacks. In a country, noted Butler, “already burdened with a national debt of £800 million (£569 billion in 2010), this was an enormous amount of money to be found”. It was a budget-busting payout to slave owners, but critically, it represented a major injection of cash into the economy by the British state that recognized the importance of slave-based property to the national economy. From a macroeconomic perspective, it was a huge stimulus package, designed to empower the investor class with new possibilities.</w:t>
      </w:r>
      <w:bookmarkStart w:id="66" w:name="cue_242_312"/>
      <w:bookmarkEnd w:id="66"/>
      <w:r w:rsidRPr="00FE36BE">
        <w:rPr>
          <w:rFonts w:ascii="Candara" w:hAnsi="Candara"/>
          <w:sz w:val="22"/>
          <w:szCs w:val="22"/>
        </w:rPr>
        <w:fldChar w:fldCharType="begin"/>
      </w:r>
      <w:r w:rsidRPr="00FE36BE">
        <w:rPr>
          <w:rFonts w:ascii="Candara" w:hAnsi="Candara"/>
          <w:sz w:val="22"/>
          <w:szCs w:val="22"/>
        </w:rPr>
        <w:instrText xml:space="preserve"> HYPERLINK \l "note_242_312" \h </w:instrText>
      </w:r>
      <w:r w:rsidRPr="00FE36BE">
        <w:rPr>
          <w:rFonts w:ascii="Candara" w:hAnsi="Candara"/>
          <w:sz w:val="22"/>
          <w:szCs w:val="22"/>
        </w:rPr>
        <w:fldChar w:fldCharType="separate"/>
      </w:r>
      <w:r w:rsidRPr="00FE36BE">
        <w:rPr>
          <w:rStyle w:val="09Text"/>
          <w:rFonts w:ascii="Candara" w:hAnsi="Candara"/>
          <w:sz w:val="16"/>
          <w:szCs w:val="16"/>
        </w:rPr>
        <w:t>15</w:t>
      </w:r>
      <w:r w:rsidRPr="00FE36BE">
        <w:rPr>
          <w:rStyle w:val="09Text"/>
          <w:rFonts w:ascii="Candara" w:hAnsi="Candara"/>
          <w:sz w:val="16"/>
          <w:szCs w:val="16"/>
        </w:rPr>
        <w:fldChar w:fldCharType="end"/>
      </w:r>
    </w:p>
    <w:p w14:paraId="0AF3E446" w14:textId="77777777" w:rsidR="00FE36BE" w:rsidRPr="00FE36BE" w:rsidRDefault="00FE36BE" w:rsidP="00FE36BE">
      <w:pPr>
        <w:pStyle w:val="Para53"/>
        <w:rPr>
          <w:rFonts w:ascii="Candara" w:hAnsi="Candara"/>
          <w:sz w:val="18"/>
          <w:szCs w:val="18"/>
        </w:rPr>
      </w:pPr>
      <w:bookmarkStart w:id="67" w:name="Table_11_1"/>
      <w:bookmarkEnd w:id="67"/>
      <w:r w:rsidRPr="00FE36BE">
        <w:rPr>
          <w:rStyle w:val="00Text"/>
          <w:rFonts w:ascii="Candara" w:hAnsi="Candara"/>
          <w:sz w:val="18"/>
          <w:szCs w:val="18"/>
        </w:rPr>
        <w:lastRenderedPageBreak/>
        <w:t>Table 11.1.</w:t>
      </w:r>
      <w:r w:rsidRPr="00FE36BE">
        <w:rPr>
          <w:rFonts w:ascii="Candara" w:hAnsi="Candara"/>
          <w:sz w:val="18"/>
          <w:szCs w:val="18"/>
        </w:rPr>
        <w:t xml:space="preserve"> Estimated Values of Some Enslaved West Indians</w:t>
      </w:r>
    </w:p>
    <w:tbl>
      <w:tblPr>
        <w:tblW w:w="0" w:type="auto"/>
        <w:tblInd w:w="10" w:type="dxa"/>
        <w:tblCellMar>
          <w:left w:w="10" w:type="dxa"/>
          <w:right w:w="10" w:type="dxa"/>
        </w:tblCellMar>
        <w:tblLook w:val="04A0" w:firstRow="1" w:lastRow="0" w:firstColumn="1" w:lastColumn="0" w:noHBand="0" w:noVBand="1"/>
      </w:tblPr>
      <w:tblGrid>
        <w:gridCol w:w="2129"/>
        <w:gridCol w:w="3089"/>
        <w:gridCol w:w="3790"/>
      </w:tblGrid>
      <w:tr w:rsidR="00FE36BE" w:rsidRPr="00FE36BE" w14:paraId="3A66B48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988F937" w14:textId="77777777" w:rsidR="00FE36BE" w:rsidRPr="00FE36BE" w:rsidRDefault="00FE36BE" w:rsidP="00D348AD">
            <w:pPr>
              <w:pStyle w:val="Para45"/>
              <w:rPr>
                <w:rFonts w:ascii="Candara" w:hAnsi="Candara"/>
                <w:sz w:val="18"/>
                <w:szCs w:val="18"/>
              </w:rPr>
            </w:pPr>
            <w:r w:rsidRPr="00FE36BE">
              <w:rPr>
                <w:rFonts w:ascii="Candara" w:hAnsi="Candara"/>
                <w:sz w:val="18"/>
                <w:szCs w:val="18"/>
              </w:rPr>
              <w:t xml:space="preserve">Colony </w:t>
            </w:r>
          </w:p>
        </w:tc>
        <w:tc>
          <w:tcPr>
            <w:tcW w:w="0" w:type="auto"/>
            <w:tcBorders>
              <w:top w:val="single" w:sz="3" w:space="0" w:color="auto"/>
              <w:left w:val="single" w:sz="3" w:space="0" w:color="auto"/>
              <w:bottom w:val="single" w:sz="3" w:space="0" w:color="auto"/>
              <w:right w:val="single" w:sz="3" w:space="0" w:color="auto"/>
            </w:tcBorders>
            <w:vAlign w:val="center"/>
          </w:tcPr>
          <w:p w14:paraId="26CD9E21" w14:textId="77777777" w:rsidR="00FE36BE" w:rsidRPr="00FE36BE" w:rsidRDefault="00FE36BE" w:rsidP="00D348AD">
            <w:pPr>
              <w:pStyle w:val="Para45"/>
              <w:rPr>
                <w:rFonts w:ascii="Candara" w:hAnsi="Candara"/>
                <w:sz w:val="18"/>
                <w:szCs w:val="18"/>
              </w:rPr>
            </w:pPr>
            <w:r w:rsidRPr="00FE36BE">
              <w:rPr>
                <w:rFonts w:ascii="Candara" w:hAnsi="Candara"/>
                <w:sz w:val="18"/>
                <w:szCs w:val="18"/>
              </w:rPr>
              <w:t>Caribbean Values (£)</w:t>
            </w:r>
          </w:p>
        </w:tc>
        <w:tc>
          <w:tcPr>
            <w:tcW w:w="0" w:type="auto"/>
            <w:tcBorders>
              <w:top w:val="single" w:sz="3" w:space="0" w:color="auto"/>
              <w:left w:val="single" w:sz="3" w:space="0" w:color="auto"/>
              <w:bottom w:val="single" w:sz="3" w:space="0" w:color="auto"/>
              <w:right w:val="single" w:sz="3" w:space="0" w:color="auto"/>
            </w:tcBorders>
            <w:vAlign w:val="center"/>
          </w:tcPr>
          <w:p w14:paraId="39382816" w14:textId="77777777" w:rsidR="00FE36BE" w:rsidRPr="00FE36BE" w:rsidRDefault="00FE36BE" w:rsidP="00D348AD">
            <w:pPr>
              <w:pStyle w:val="Para45"/>
              <w:rPr>
                <w:rFonts w:ascii="Candara" w:hAnsi="Candara"/>
                <w:sz w:val="18"/>
                <w:szCs w:val="18"/>
              </w:rPr>
            </w:pPr>
            <w:r w:rsidRPr="00FE36BE">
              <w:rPr>
                <w:rFonts w:ascii="Candara" w:hAnsi="Candara"/>
                <w:sz w:val="18"/>
                <w:szCs w:val="18"/>
              </w:rPr>
              <w:t>British Compensation (£)</w:t>
            </w:r>
          </w:p>
        </w:tc>
      </w:tr>
      <w:tr w:rsidR="00FE36BE" w:rsidRPr="00FE36BE" w14:paraId="0923CC7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1276A8B" w14:textId="77777777" w:rsidR="00FE36BE" w:rsidRPr="00FE36BE" w:rsidRDefault="00FE36BE" w:rsidP="00D348AD">
            <w:pPr>
              <w:pStyle w:val="Para16"/>
              <w:rPr>
                <w:rFonts w:ascii="Candara" w:hAnsi="Candara"/>
                <w:sz w:val="18"/>
                <w:szCs w:val="18"/>
              </w:rPr>
            </w:pPr>
            <w:r w:rsidRPr="00FE36BE">
              <w:rPr>
                <w:rFonts w:ascii="Candara" w:hAnsi="Candara"/>
                <w:sz w:val="18"/>
                <w:szCs w:val="18"/>
              </w:rPr>
              <w:t>Jamaica</w:t>
            </w:r>
          </w:p>
        </w:tc>
        <w:tc>
          <w:tcPr>
            <w:tcW w:w="0" w:type="auto"/>
            <w:tcBorders>
              <w:top w:val="single" w:sz="3" w:space="0" w:color="auto"/>
              <w:left w:val="single" w:sz="3" w:space="0" w:color="auto"/>
              <w:bottom w:val="single" w:sz="3" w:space="0" w:color="auto"/>
              <w:right w:val="single" w:sz="3" w:space="0" w:color="auto"/>
            </w:tcBorders>
            <w:vAlign w:val="center"/>
          </w:tcPr>
          <w:p w14:paraId="302F1A62" w14:textId="77777777" w:rsidR="00FE36BE" w:rsidRPr="00FE36BE" w:rsidRDefault="00FE36BE" w:rsidP="00D348AD">
            <w:pPr>
              <w:pStyle w:val="Para16"/>
              <w:rPr>
                <w:rFonts w:ascii="Candara" w:hAnsi="Candara"/>
                <w:sz w:val="18"/>
                <w:szCs w:val="18"/>
              </w:rPr>
            </w:pPr>
            <w:r w:rsidRPr="00FE36BE">
              <w:rPr>
                <w:rFonts w:ascii="Candara" w:hAnsi="Candara"/>
                <w:sz w:val="18"/>
                <w:szCs w:val="18"/>
              </w:rPr>
              <w:t>13,951,139</w:t>
            </w:r>
          </w:p>
        </w:tc>
        <w:tc>
          <w:tcPr>
            <w:tcW w:w="0" w:type="auto"/>
            <w:tcBorders>
              <w:top w:val="single" w:sz="3" w:space="0" w:color="auto"/>
              <w:left w:val="single" w:sz="3" w:space="0" w:color="auto"/>
              <w:bottom w:val="single" w:sz="3" w:space="0" w:color="auto"/>
              <w:right w:val="single" w:sz="3" w:space="0" w:color="auto"/>
            </w:tcBorders>
            <w:vAlign w:val="center"/>
          </w:tcPr>
          <w:p w14:paraId="1A13EACF" w14:textId="77777777" w:rsidR="00FE36BE" w:rsidRPr="00FE36BE" w:rsidRDefault="00FE36BE" w:rsidP="00D348AD">
            <w:pPr>
              <w:pStyle w:val="Para16"/>
              <w:rPr>
                <w:rFonts w:ascii="Candara" w:hAnsi="Candara"/>
                <w:sz w:val="18"/>
                <w:szCs w:val="18"/>
              </w:rPr>
            </w:pPr>
            <w:r w:rsidRPr="00FE36BE">
              <w:rPr>
                <w:rFonts w:ascii="Candara" w:hAnsi="Candara"/>
                <w:sz w:val="18"/>
                <w:szCs w:val="18"/>
              </w:rPr>
              <w:t>6,161,927</w:t>
            </w:r>
          </w:p>
        </w:tc>
      </w:tr>
      <w:tr w:rsidR="00FE36BE" w:rsidRPr="00FE36BE" w14:paraId="7DA2B36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D6691DF" w14:textId="77777777" w:rsidR="00FE36BE" w:rsidRPr="00FE36BE" w:rsidRDefault="00FE36BE" w:rsidP="00D348AD">
            <w:pPr>
              <w:pStyle w:val="Para16"/>
              <w:rPr>
                <w:rFonts w:ascii="Candara" w:hAnsi="Candara"/>
                <w:sz w:val="18"/>
                <w:szCs w:val="18"/>
              </w:rPr>
            </w:pPr>
            <w:r w:rsidRPr="00FE36BE">
              <w:rPr>
                <w:rFonts w:ascii="Candara" w:hAnsi="Candara"/>
                <w:sz w:val="18"/>
                <w:szCs w:val="18"/>
              </w:rPr>
              <w:t>British Guiana</w:t>
            </w:r>
          </w:p>
        </w:tc>
        <w:tc>
          <w:tcPr>
            <w:tcW w:w="0" w:type="auto"/>
            <w:tcBorders>
              <w:top w:val="single" w:sz="3" w:space="0" w:color="auto"/>
              <w:left w:val="single" w:sz="3" w:space="0" w:color="auto"/>
              <w:bottom w:val="single" w:sz="3" w:space="0" w:color="auto"/>
              <w:right w:val="single" w:sz="3" w:space="0" w:color="auto"/>
            </w:tcBorders>
            <w:vAlign w:val="center"/>
          </w:tcPr>
          <w:p w14:paraId="22F6DFCC" w14:textId="77777777" w:rsidR="00FE36BE" w:rsidRPr="00FE36BE" w:rsidRDefault="00FE36BE" w:rsidP="00D348AD">
            <w:pPr>
              <w:pStyle w:val="Para16"/>
              <w:rPr>
                <w:rFonts w:ascii="Candara" w:hAnsi="Candara"/>
                <w:sz w:val="18"/>
                <w:szCs w:val="18"/>
              </w:rPr>
            </w:pPr>
            <w:r w:rsidRPr="00FE36BE">
              <w:rPr>
                <w:rFonts w:ascii="Candara" w:hAnsi="Candara"/>
                <w:sz w:val="18"/>
                <w:szCs w:val="18"/>
              </w:rPr>
              <w:t>9,729,047</w:t>
            </w:r>
          </w:p>
        </w:tc>
        <w:tc>
          <w:tcPr>
            <w:tcW w:w="0" w:type="auto"/>
            <w:tcBorders>
              <w:top w:val="single" w:sz="3" w:space="0" w:color="auto"/>
              <w:left w:val="single" w:sz="3" w:space="0" w:color="auto"/>
              <w:bottom w:val="single" w:sz="3" w:space="0" w:color="auto"/>
              <w:right w:val="single" w:sz="3" w:space="0" w:color="auto"/>
            </w:tcBorders>
            <w:vAlign w:val="center"/>
          </w:tcPr>
          <w:p w14:paraId="73F44908" w14:textId="77777777" w:rsidR="00FE36BE" w:rsidRPr="00FE36BE" w:rsidRDefault="00FE36BE" w:rsidP="00D348AD">
            <w:pPr>
              <w:pStyle w:val="Para16"/>
              <w:rPr>
                <w:rFonts w:ascii="Candara" w:hAnsi="Candara"/>
                <w:sz w:val="18"/>
                <w:szCs w:val="18"/>
              </w:rPr>
            </w:pPr>
            <w:r w:rsidRPr="00FE36BE">
              <w:rPr>
                <w:rFonts w:ascii="Candara" w:hAnsi="Candara"/>
                <w:sz w:val="18"/>
                <w:szCs w:val="18"/>
              </w:rPr>
              <w:t>4,330,665</w:t>
            </w:r>
          </w:p>
        </w:tc>
      </w:tr>
      <w:tr w:rsidR="00FE36BE" w:rsidRPr="00FE36BE" w14:paraId="28714B34"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5C8C3FD" w14:textId="77777777" w:rsidR="00FE36BE" w:rsidRPr="00FE36BE" w:rsidRDefault="00FE36BE" w:rsidP="00D348AD">
            <w:pPr>
              <w:pStyle w:val="Para16"/>
              <w:rPr>
                <w:rFonts w:ascii="Candara" w:hAnsi="Candara"/>
                <w:sz w:val="18"/>
                <w:szCs w:val="18"/>
              </w:rPr>
            </w:pPr>
            <w:r w:rsidRPr="00FE36BE">
              <w:rPr>
                <w:rFonts w:ascii="Candara" w:hAnsi="Candara"/>
                <w:sz w:val="18"/>
                <w:szCs w:val="18"/>
              </w:rPr>
              <w:t>Barbados</w:t>
            </w:r>
          </w:p>
        </w:tc>
        <w:tc>
          <w:tcPr>
            <w:tcW w:w="0" w:type="auto"/>
            <w:tcBorders>
              <w:top w:val="single" w:sz="3" w:space="0" w:color="auto"/>
              <w:left w:val="single" w:sz="3" w:space="0" w:color="auto"/>
              <w:bottom w:val="single" w:sz="3" w:space="0" w:color="auto"/>
              <w:right w:val="single" w:sz="3" w:space="0" w:color="auto"/>
            </w:tcBorders>
            <w:vAlign w:val="center"/>
          </w:tcPr>
          <w:p w14:paraId="6213B7D2" w14:textId="77777777" w:rsidR="00FE36BE" w:rsidRPr="00FE36BE" w:rsidRDefault="00FE36BE" w:rsidP="00D348AD">
            <w:pPr>
              <w:pStyle w:val="Para16"/>
              <w:rPr>
                <w:rFonts w:ascii="Candara" w:hAnsi="Candara"/>
                <w:sz w:val="18"/>
                <w:szCs w:val="18"/>
              </w:rPr>
            </w:pPr>
            <w:r w:rsidRPr="00FE36BE">
              <w:rPr>
                <w:rFonts w:ascii="Candara" w:hAnsi="Candara"/>
                <w:sz w:val="18"/>
                <w:szCs w:val="18"/>
              </w:rPr>
              <w:t>3,897,276</w:t>
            </w:r>
          </w:p>
        </w:tc>
        <w:tc>
          <w:tcPr>
            <w:tcW w:w="0" w:type="auto"/>
            <w:tcBorders>
              <w:top w:val="single" w:sz="3" w:space="0" w:color="auto"/>
              <w:left w:val="single" w:sz="3" w:space="0" w:color="auto"/>
              <w:bottom w:val="single" w:sz="3" w:space="0" w:color="auto"/>
              <w:right w:val="single" w:sz="3" w:space="0" w:color="auto"/>
            </w:tcBorders>
            <w:vAlign w:val="center"/>
          </w:tcPr>
          <w:p w14:paraId="297FD73F" w14:textId="77777777" w:rsidR="00FE36BE" w:rsidRPr="00FE36BE" w:rsidRDefault="00FE36BE" w:rsidP="00D348AD">
            <w:pPr>
              <w:pStyle w:val="Para16"/>
              <w:rPr>
                <w:rFonts w:ascii="Candara" w:hAnsi="Candara"/>
                <w:sz w:val="18"/>
                <w:szCs w:val="18"/>
              </w:rPr>
            </w:pPr>
            <w:r w:rsidRPr="00FE36BE">
              <w:rPr>
                <w:rFonts w:ascii="Candara" w:hAnsi="Candara"/>
                <w:sz w:val="18"/>
                <w:szCs w:val="18"/>
              </w:rPr>
              <w:t>1,721,345</w:t>
            </w:r>
          </w:p>
        </w:tc>
      </w:tr>
      <w:tr w:rsidR="00FE36BE" w:rsidRPr="00FE36BE" w14:paraId="1EAC60E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D5ED007" w14:textId="77777777" w:rsidR="00FE36BE" w:rsidRPr="00FE36BE" w:rsidRDefault="00FE36BE" w:rsidP="00D348AD">
            <w:pPr>
              <w:pStyle w:val="Para16"/>
              <w:rPr>
                <w:rFonts w:ascii="Candara" w:hAnsi="Candara"/>
                <w:sz w:val="18"/>
                <w:szCs w:val="18"/>
              </w:rPr>
            </w:pPr>
            <w:r w:rsidRPr="00FE36BE">
              <w:rPr>
                <w:rFonts w:ascii="Candara" w:hAnsi="Candara"/>
                <w:sz w:val="18"/>
                <w:szCs w:val="18"/>
              </w:rPr>
              <w:t>Trinidad</w:t>
            </w:r>
          </w:p>
        </w:tc>
        <w:tc>
          <w:tcPr>
            <w:tcW w:w="0" w:type="auto"/>
            <w:tcBorders>
              <w:top w:val="single" w:sz="3" w:space="0" w:color="auto"/>
              <w:left w:val="single" w:sz="3" w:space="0" w:color="auto"/>
              <w:bottom w:val="single" w:sz="3" w:space="0" w:color="auto"/>
              <w:right w:val="single" w:sz="3" w:space="0" w:color="auto"/>
            </w:tcBorders>
            <w:vAlign w:val="center"/>
          </w:tcPr>
          <w:p w14:paraId="595F509E" w14:textId="77777777" w:rsidR="00FE36BE" w:rsidRPr="00FE36BE" w:rsidRDefault="00FE36BE" w:rsidP="00D348AD">
            <w:pPr>
              <w:pStyle w:val="Para16"/>
              <w:rPr>
                <w:rFonts w:ascii="Candara" w:hAnsi="Candara"/>
                <w:sz w:val="18"/>
                <w:szCs w:val="18"/>
              </w:rPr>
            </w:pPr>
            <w:r w:rsidRPr="00FE36BE">
              <w:rPr>
                <w:rFonts w:ascii="Candara" w:hAnsi="Candara"/>
                <w:sz w:val="18"/>
                <w:szCs w:val="18"/>
              </w:rPr>
              <w:t>2,352,655</w:t>
            </w:r>
          </w:p>
        </w:tc>
        <w:tc>
          <w:tcPr>
            <w:tcW w:w="0" w:type="auto"/>
            <w:tcBorders>
              <w:top w:val="single" w:sz="3" w:space="0" w:color="auto"/>
              <w:left w:val="single" w:sz="3" w:space="0" w:color="auto"/>
              <w:bottom w:val="single" w:sz="3" w:space="0" w:color="auto"/>
              <w:right w:val="single" w:sz="3" w:space="0" w:color="auto"/>
            </w:tcBorders>
            <w:vAlign w:val="center"/>
          </w:tcPr>
          <w:p w14:paraId="38A4A074" w14:textId="77777777" w:rsidR="00FE36BE" w:rsidRPr="00FE36BE" w:rsidRDefault="00FE36BE" w:rsidP="00D348AD">
            <w:pPr>
              <w:pStyle w:val="Para16"/>
              <w:rPr>
                <w:rFonts w:ascii="Candara" w:hAnsi="Candara"/>
                <w:sz w:val="18"/>
                <w:szCs w:val="18"/>
              </w:rPr>
            </w:pPr>
            <w:r w:rsidRPr="00FE36BE">
              <w:rPr>
                <w:rFonts w:ascii="Candara" w:hAnsi="Candara"/>
                <w:sz w:val="18"/>
                <w:szCs w:val="18"/>
              </w:rPr>
              <w:t>1,117,950</w:t>
            </w:r>
          </w:p>
        </w:tc>
      </w:tr>
      <w:tr w:rsidR="00FE36BE" w:rsidRPr="00FE36BE" w14:paraId="3E64E9F8"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60F3552" w14:textId="77777777" w:rsidR="00FE36BE" w:rsidRPr="00FE36BE" w:rsidRDefault="00FE36BE" w:rsidP="00D348AD">
            <w:pPr>
              <w:pStyle w:val="Para16"/>
              <w:rPr>
                <w:rFonts w:ascii="Candara" w:hAnsi="Candara"/>
                <w:sz w:val="18"/>
                <w:szCs w:val="18"/>
              </w:rPr>
            </w:pPr>
            <w:r w:rsidRPr="00FE36BE">
              <w:rPr>
                <w:rFonts w:ascii="Candara" w:hAnsi="Candara"/>
                <w:sz w:val="18"/>
                <w:szCs w:val="18"/>
              </w:rPr>
              <w:t>Grenada</w:t>
            </w:r>
          </w:p>
        </w:tc>
        <w:tc>
          <w:tcPr>
            <w:tcW w:w="0" w:type="auto"/>
            <w:tcBorders>
              <w:top w:val="single" w:sz="3" w:space="0" w:color="auto"/>
              <w:left w:val="single" w:sz="3" w:space="0" w:color="auto"/>
              <w:bottom w:val="single" w:sz="3" w:space="0" w:color="auto"/>
              <w:right w:val="single" w:sz="3" w:space="0" w:color="auto"/>
            </w:tcBorders>
            <w:vAlign w:val="center"/>
          </w:tcPr>
          <w:p w14:paraId="207D60BC" w14:textId="77777777" w:rsidR="00FE36BE" w:rsidRPr="00FE36BE" w:rsidRDefault="00FE36BE" w:rsidP="00D348AD">
            <w:pPr>
              <w:pStyle w:val="Para16"/>
              <w:rPr>
                <w:rFonts w:ascii="Candara" w:hAnsi="Candara"/>
                <w:sz w:val="18"/>
                <w:szCs w:val="18"/>
              </w:rPr>
            </w:pPr>
            <w:r w:rsidRPr="00FE36BE">
              <w:rPr>
                <w:rFonts w:ascii="Candara" w:hAnsi="Candara"/>
                <w:sz w:val="18"/>
                <w:szCs w:val="18"/>
              </w:rPr>
              <w:t>1,395,684</w:t>
            </w:r>
          </w:p>
        </w:tc>
        <w:tc>
          <w:tcPr>
            <w:tcW w:w="0" w:type="auto"/>
            <w:tcBorders>
              <w:top w:val="single" w:sz="3" w:space="0" w:color="auto"/>
              <w:left w:val="single" w:sz="3" w:space="0" w:color="auto"/>
              <w:bottom w:val="single" w:sz="3" w:space="0" w:color="auto"/>
              <w:right w:val="single" w:sz="3" w:space="0" w:color="auto"/>
            </w:tcBorders>
            <w:vAlign w:val="center"/>
          </w:tcPr>
          <w:p w14:paraId="04F4CCE4" w14:textId="77777777" w:rsidR="00FE36BE" w:rsidRPr="00FE36BE" w:rsidRDefault="00FE36BE" w:rsidP="00D348AD">
            <w:pPr>
              <w:pStyle w:val="Para16"/>
              <w:rPr>
                <w:rFonts w:ascii="Candara" w:hAnsi="Candara"/>
                <w:sz w:val="18"/>
                <w:szCs w:val="18"/>
              </w:rPr>
            </w:pPr>
            <w:r w:rsidRPr="00FE36BE">
              <w:rPr>
                <w:rFonts w:ascii="Candara" w:hAnsi="Candara"/>
                <w:sz w:val="18"/>
                <w:szCs w:val="18"/>
              </w:rPr>
              <w:t>611,936</w:t>
            </w:r>
          </w:p>
        </w:tc>
      </w:tr>
      <w:tr w:rsidR="00FE36BE" w:rsidRPr="00FE36BE" w14:paraId="4D42A3F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070B033" w14:textId="77777777" w:rsidR="00FE36BE" w:rsidRPr="00FE36BE" w:rsidRDefault="00FE36BE" w:rsidP="00D348AD">
            <w:pPr>
              <w:pStyle w:val="Para16"/>
              <w:rPr>
                <w:rFonts w:ascii="Candara" w:hAnsi="Candara"/>
                <w:sz w:val="18"/>
                <w:szCs w:val="18"/>
              </w:rPr>
            </w:pPr>
            <w:r w:rsidRPr="00FE36BE">
              <w:rPr>
                <w:rFonts w:ascii="Candara" w:hAnsi="Candara"/>
                <w:sz w:val="18"/>
                <w:szCs w:val="18"/>
              </w:rPr>
              <w:t>St Vincent</w:t>
            </w:r>
          </w:p>
        </w:tc>
        <w:tc>
          <w:tcPr>
            <w:tcW w:w="0" w:type="auto"/>
            <w:tcBorders>
              <w:top w:val="single" w:sz="3" w:space="0" w:color="auto"/>
              <w:left w:val="single" w:sz="3" w:space="0" w:color="auto"/>
              <w:bottom w:val="single" w:sz="3" w:space="0" w:color="auto"/>
              <w:right w:val="single" w:sz="3" w:space="0" w:color="auto"/>
            </w:tcBorders>
            <w:vAlign w:val="center"/>
          </w:tcPr>
          <w:p w14:paraId="3E247DF4" w14:textId="77777777" w:rsidR="00FE36BE" w:rsidRPr="00FE36BE" w:rsidRDefault="00FE36BE" w:rsidP="00D348AD">
            <w:pPr>
              <w:pStyle w:val="Para16"/>
              <w:rPr>
                <w:rFonts w:ascii="Candara" w:hAnsi="Candara"/>
                <w:sz w:val="18"/>
                <w:szCs w:val="18"/>
              </w:rPr>
            </w:pPr>
            <w:r w:rsidRPr="00FE36BE">
              <w:rPr>
                <w:rFonts w:ascii="Candara" w:hAnsi="Candara"/>
                <w:sz w:val="18"/>
                <w:szCs w:val="18"/>
              </w:rPr>
              <w:t>1,341,491</w:t>
            </w:r>
          </w:p>
        </w:tc>
        <w:tc>
          <w:tcPr>
            <w:tcW w:w="0" w:type="auto"/>
            <w:tcBorders>
              <w:top w:val="single" w:sz="3" w:space="0" w:color="auto"/>
              <w:left w:val="single" w:sz="3" w:space="0" w:color="auto"/>
              <w:bottom w:val="single" w:sz="3" w:space="0" w:color="auto"/>
              <w:right w:val="single" w:sz="3" w:space="0" w:color="auto"/>
            </w:tcBorders>
            <w:vAlign w:val="center"/>
          </w:tcPr>
          <w:p w14:paraId="1900C2EC" w14:textId="77777777" w:rsidR="00FE36BE" w:rsidRPr="00FE36BE" w:rsidRDefault="00FE36BE" w:rsidP="00D348AD">
            <w:pPr>
              <w:pStyle w:val="Para16"/>
              <w:rPr>
                <w:rFonts w:ascii="Candara" w:hAnsi="Candara"/>
                <w:sz w:val="18"/>
                <w:szCs w:val="18"/>
              </w:rPr>
            </w:pPr>
            <w:r w:rsidRPr="00FE36BE">
              <w:rPr>
                <w:rFonts w:ascii="Candara" w:hAnsi="Candara"/>
                <w:sz w:val="18"/>
                <w:szCs w:val="18"/>
              </w:rPr>
              <w:t>576,446</w:t>
            </w:r>
          </w:p>
        </w:tc>
      </w:tr>
      <w:tr w:rsidR="00FE36BE" w:rsidRPr="00FE36BE" w14:paraId="16C04F8E"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097FD9D" w14:textId="77777777" w:rsidR="00FE36BE" w:rsidRPr="00FE36BE" w:rsidRDefault="00FE36BE" w:rsidP="00D348AD">
            <w:pPr>
              <w:pStyle w:val="Para16"/>
              <w:rPr>
                <w:rFonts w:ascii="Candara" w:hAnsi="Candara"/>
                <w:sz w:val="18"/>
                <w:szCs w:val="18"/>
              </w:rPr>
            </w:pPr>
            <w:r w:rsidRPr="00FE36BE">
              <w:rPr>
                <w:rFonts w:ascii="Candara" w:hAnsi="Candara"/>
                <w:sz w:val="18"/>
                <w:szCs w:val="18"/>
              </w:rPr>
              <w:t>St Lucia</w:t>
            </w:r>
          </w:p>
        </w:tc>
        <w:tc>
          <w:tcPr>
            <w:tcW w:w="0" w:type="auto"/>
            <w:tcBorders>
              <w:top w:val="single" w:sz="3" w:space="0" w:color="auto"/>
              <w:left w:val="single" w:sz="3" w:space="0" w:color="auto"/>
              <w:bottom w:val="single" w:sz="3" w:space="0" w:color="auto"/>
              <w:right w:val="single" w:sz="3" w:space="0" w:color="auto"/>
            </w:tcBorders>
            <w:vAlign w:val="center"/>
          </w:tcPr>
          <w:p w14:paraId="31E93831" w14:textId="77777777" w:rsidR="00FE36BE" w:rsidRPr="00FE36BE" w:rsidRDefault="00FE36BE" w:rsidP="00D348AD">
            <w:pPr>
              <w:pStyle w:val="Para16"/>
              <w:rPr>
                <w:rFonts w:ascii="Candara" w:hAnsi="Candara"/>
                <w:sz w:val="18"/>
                <w:szCs w:val="18"/>
              </w:rPr>
            </w:pPr>
            <w:r w:rsidRPr="00FE36BE">
              <w:rPr>
                <w:rFonts w:ascii="Candara" w:hAnsi="Candara"/>
                <w:sz w:val="18"/>
                <w:szCs w:val="18"/>
              </w:rPr>
              <w:t>759,890</w:t>
            </w:r>
          </w:p>
        </w:tc>
        <w:tc>
          <w:tcPr>
            <w:tcW w:w="0" w:type="auto"/>
            <w:tcBorders>
              <w:top w:val="single" w:sz="3" w:space="0" w:color="auto"/>
              <w:left w:val="single" w:sz="3" w:space="0" w:color="auto"/>
              <w:bottom w:val="single" w:sz="3" w:space="0" w:color="auto"/>
              <w:right w:val="single" w:sz="3" w:space="0" w:color="auto"/>
            </w:tcBorders>
            <w:vAlign w:val="center"/>
          </w:tcPr>
          <w:p w14:paraId="5B1D8691" w14:textId="77777777" w:rsidR="00FE36BE" w:rsidRPr="00FE36BE" w:rsidRDefault="00FE36BE" w:rsidP="00D348AD">
            <w:pPr>
              <w:pStyle w:val="Para16"/>
              <w:rPr>
                <w:rFonts w:ascii="Candara" w:hAnsi="Candara"/>
                <w:sz w:val="18"/>
                <w:szCs w:val="18"/>
              </w:rPr>
            </w:pPr>
            <w:r w:rsidRPr="00FE36BE">
              <w:rPr>
                <w:rFonts w:ascii="Candara" w:hAnsi="Candara"/>
                <w:sz w:val="18"/>
                <w:szCs w:val="18"/>
              </w:rPr>
              <w:t>333,700</w:t>
            </w:r>
          </w:p>
        </w:tc>
      </w:tr>
      <w:tr w:rsidR="00FE36BE" w:rsidRPr="00FE36BE" w14:paraId="01E01AA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AB8BD1F" w14:textId="77777777" w:rsidR="00FE36BE" w:rsidRPr="00FE36BE" w:rsidRDefault="00FE36BE" w:rsidP="00D348AD">
            <w:pPr>
              <w:pStyle w:val="Para16"/>
              <w:rPr>
                <w:rFonts w:ascii="Candara" w:hAnsi="Candara"/>
                <w:sz w:val="18"/>
                <w:szCs w:val="18"/>
              </w:rPr>
            </w:pPr>
            <w:r w:rsidRPr="00FE36BE">
              <w:rPr>
                <w:rFonts w:ascii="Candara" w:hAnsi="Candara"/>
                <w:sz w:val="18"/>
                <w:szCs w:val="18"/>
              </w:rPr>
              <w:t>Tobago</w:t>
            </w:r>
          </w:p>
        </w:tc>
        <w:tc>
          <w:tcPr>
            <w:tcW w:w="0" w:type="auto"/>
            <w:tcBorders>
              <w:top w:val="single" w:sz="3" w:space="0" w:color="auto"/>
              <w:left w:val="single" w:sz="3" w:space="0" w:color="auto"/>
              <w:bottom w:val="single" w:sz="3" w:space="0" w:color="auto"/>
              <w:right w:val="single" w:sz="3" w:space="0" w:color="auto"/>
            </w:tcBorders>
            <w:vAlign w:val="center"/>
          </w:tcPr>
          <w:p w14:paraId="4C3C337D" w14:textId="77777777" w:rsidR="00FE36BE" w:rsidRPr="00FE36BE" w:rsidRDefault="00FE36BE" w:rsidP="00D348AD">
            <w:pPr>
              <w:pStyle w:val="Para16"/>
              <w:rPr>
                <w:rFonts w:ascii="Candara" w:hAnsi="Candara"/>
                <w:sz w:val="18"/>
                <w:szCs w:val="18"/>
              </w:rPr>
            </w:pPr>
            <w:r w:rsidRPr="00FE36BE">
              <w:rPr>
                <w:rFonts w:ascii="Candara" w:hAnsi="Candara"/>
                <w:sz w:val="18"/>
                <w:szCs w:val="18"/>
              </w:rPr>
              <w:t>529,941</w:t>
            </w:r>
          </w:p>
        </w:tc>
        <w:tc>
          <w:tcPr>
            <w:tcW w:w="0" w:type="auto"/>
            <w:tcBorders>
              <w:top w:val="single" w:sz="3" w:space="0" w:color="auto"/>
              <w:left w:val="single" w:sz="3" w:space="0" w:color="auto"/>
              <w:bottom w:val="single" w:sz="3" w:space="0" w:color="auto"/>
              <w:right w:val="single" w:sz="3" w:space="0" w:color="auto"/>
            </w:tcBorders>
            <w:vAlign w:val="center"/>
          </w:tcPr>
          <w:p w14:paraId="3C902B76" w14:textId="77777777" w:rsidR="00FE36BE" w:rsidRPr="00FE36BE" w:rsidRDefault="00FE36BE" w:rsidP="00D348AD">
            <w:pPr>
              <w:pStyle w:val="Para16"/>
              <w:rPr>
                <w:rFonts w:ascii="Candara" w:hAnsi="Candara"/>
                <w:sz w:val="18"/>
                <w:szCs w:val="18"/>
              </w:rPr>
            </w:pPr>
            <w:r w:rsidRPr="00FE36BE">
              <w:rPr>
                <w:rFonts w:ascii="Candara" w:hAnsi="Candara"/>
                <w:sz w:val="18"/>
                <w:szCs w:val="18"/>
              </w:rPr>
              <w:t>232,400</w:t>
            </w:r>
          </w:p>
        </w:tc>
      </w:tr>
      <w:tr w:rsidR="00FE36BE" w:rsidRPr="00FE36BE" w14:paraId="238EA29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D6BF2EF" w14:textId="77777777" w:rsidR="00FE36BE" w:rsidRPr="00FE36BE" w:rsidRDefault="00FE36BE" w:rsidP="00D348AD">
            <w:pPr>
              <w:pStyle w:val="0Block"/>
              <w:rPr>
                <w:rFonts w:ascii="Candara" w:hAnsi="Candara"/>
                <w:sz w:val="20"/>
                <w:szCs w:val="20"/>
              </w:rPr>
            </w:pPr>
          </w:p>
        </w:tc>
        <w:tc>
          <w:tcPr>
            <w:tcW w:w="0" w:type="auto"/>
            <w:tcBorders>
              <w:top w:val="single" w:sz="3" w:space="0" w:color="auto"/>
              <w:left w:val="single" w:sz="3" w:space="0" w:color="auto"/>
              <w:bottom w:val="single" w:sz="3" w:space="0" w:color="auto"/>
              <w:right w:val="single" w:sz="3" w:space="0" w:color="auto"/>
            </w:tcBorders>
            <w:vAlign w:val="center"/>
          </w:tcPr>
          <w:p w14:paraId="01536205" w14:textId="77777777" w:rsidR="00FE36BE" w:rsidRPr="00FE36BE" w:rsidRDefault="00FE36BE" w:rsidP="00D348AD">
            <w:pPr>
              <w:pStyle w:val="0Block"/>
              <w:rPr>
                <w:rFonts w:ascii="Candara" w:hAnsi="Candara"/>
                <w:sz w:val="20"/>
                <w:szCs w:val="20"/>
              </w:rPr>
            </w:pPr>
          </w:p>
        </w:tc>
        <w:tc>
          <w:tcPr>
            <w:tcW w:w="0" w:type="auto"/>
            <w:tcBorders>
              <w:top w:val="single" w:sz="3" w:space="0" w:color="auto"/>
              <w:left w:val="single" w:sz="3" w:space="0" w:color="auto"/>
              <w:bottom w:val="single" w:sz="3" w:space="0" w:color="auto"/>
              <w:right w:val="single" w:sz="3" w:space="0" w:color="auto"/>
            </w:tcBorders>
            <w:vAlign w:val="center"/>
          </w:tcPr>
          <w:p w14:paraId="76E3FDDB" w14:textId="77777777" w:rsidR="00FE36BE" w:rsidRPr="00FE36BE" w:rsidRDefault="00FE36BE" w:rsidP="00D348AD">
            <w:pPr>
              <w:pStyle w:val="0Block"/>
              <w:rPr>
                <w:rFonts w:ascii="Candara" w:hAnsi="Candara"/>
                <w:sz w:val="20"/>
                <w:szCs w:val="20"/>
              </w:rPr>
            </w:pPr>
          </w:p>
        </w:tc>
      </w:tr>
      <w:tr w:rsidR="00FE36BE" w:rsidRPr="00FE36BE" w14:paraId="26273861" w14:textId="77777777" w:rsidTr="00D348AD">
        <w:tblPrEx>
          <w:tblCellMar>
            <w:top w:w="0" w:type="dxa"/>
            <w:bottom w:w="0" w:type="dxa"/>
          </w:tblCellMar>
        </w:tblPrEx>
        <w:tc>
          <w:tcPr>
            <w:tcW w:w="0" w:type="auto"/>
            <w:gridSpan w:val="3"/>
            <w:tcBorders>
              <w:top w:val="single" w:sz="3" w:space="0" w:color="auto"/>
              <w:left w:val="single" w:sz="3" w:space="0" w:color="auto"/>
              <w:bottom w:val="single" w:sz="3" w:space="0" w:color="auto"/>
            </w:tcBorders>
            <w:vAlign w:val="center"/>
          </w:tcPr>
          <w:p w14:paraId="31FF31D3" w14:textId="77777777" w:rsidR="00FE36BE" w:rsidRPr="00FE36BE" w:rsidRDefault="00FE36BE" w:rsidP="00D348AD">
            <w:pPr>
              <w:pStyle w:val="Para38"/>
              <w:rPr>
                <w:rFonts w:ascii="Candara" w:hAnsi="Candara"/>
                <w:sz w:val="18"/>
                <w:szCs w:val="18"/>
              </w:rPr>
            </w:pPr>
            <w:r w:rsidRPr="00FE36BE">
              <w:rPr>
                <w:rStyle w:val="00Text"/>
                <w:rFonts w:ascii="Candara" w:hAnsi="Candara"/>
                <w:sz w:val="18"/>
                <w:szCs w:val="18"/>
              </w:rPr>
              <w:t>Source:</w:t>
            </w:r>
            <w:r w:rsidRPr="00FE36BE">
              <w:rPr>
                <w:rFonts w:ascii="Candara" w:hAnsi="Candara"/>
                <w:sz w:val="18"/>
                <w:szCs w:val="18"/>
              </w:rPr>
              <w:t xml:space="preserve"> Kathleen Mary Butler, </w:t>
            </w:r>
            <w:r w:rsidRPr="00FE36BE">
              <w:rPr>
                <w:rStyle w:val="00Text"/>
                <w:rFonts w:ascii="Candara" w:hAnsi="Candara"/>
                <w:sz w:val="18"/>
                <w:szCs w:val="18"/>
              </w:rPr>
              <w:t>The Economics of Emancipation: Jamaica and Barbados, 1823–1843</w:t>
            </w:r>
            <w:r w:rsidRPr="00FE36BE">
              <w:rPr>
                <w:rFonts w:ascii="Candara" w:hAnsi="Candara"/>
                <w:sz w:val="18"/>
                <w:szCs w:val="18"/>
              </w:rPr>
              <w:t xml:space="preserve"> (Chapel Hill: University of North Carolina Press, 1995), 28.</w:t>
            </w:r>
          </w:p>
        </w:tc>
      </w:tr>
    </w:tbl>
    <w:p w14:paraId="49AABB14" w14:textId="77777777" w:rsidR="00FE36BE" w:rsidRPr="00FE36BE" w:rsidRDefault="00FE36BE" w:rsidP="00FE36BE">
      <w:pPr>
        <w:pStyle w:val="Para01"/>
        <w:rPr>
          <w:rFonts w:ascii="Candara" w:hAnsi="Candara"/>
          <w:sz w:val="22"/>
          <w:szCs w:val="22"/>
        </w:rPr>
      </w:pPr>
      <w:bookmarkStart w:id="68" w:name="Anchor_1444"/>
      <w:bookmarkEnd w:id="68"/>
      <w:r w:rsidRPr="00FE36BE">
        <w:rPr>
          <w:rFonts w:ascii="Candara" w:hAnsi="Candara"/>
          <w:sz w:val="22"/>
          <w:szCs w:val="22"/>
        </w:rPr>
        <w:t>Slave owners wanted the last drop of blood from the dying slavery system. Their own calculations were that the enslaved population in the West Indies was valued at £40 million (£28.5 billion in 2010) and that all their other properties were worth £100 million. Apart from the reparations of £20 million, they demanded “an additional £10</w:t>
      </w:r>
      <w:r w:rsidRPr="00FE36BE">
        <w:rPr>
          <w:rStyle w:val="13Text"/>
          <w:rFonts w:ascii="Candara" w:hAnsi="Candara"/>
          <w:sz w:val="16"/>
          <w:szCs w:val="16"/>
        </w:rPr>
        <w:t>M</w:t>
      </w:r>
      <w:r w:rsidRPr="00FE36BE">
        <w:rPr>
          <w:rFonts w:ascii="Candara" w:hAnsi="Candara"/>
          <w:sz w:val="22"/>
          <w:szCs w:val="22"/>
        </w:rPr>
        <w:t>” in the form of a loan, and stated that failure to comply would “destroy all confidence in British trade and could affect the property of every British citizen”.</w:t>
      </w:r>
      <w:bookmarkStart w:id="69" w:name="cue_242_313"/>
      <w:bookmarkEnd w:id="69"/>
      <w:r w:rsidRPr="00FE36BE">
        <w:rPr>
          <w:rFonts w:ascii="Candara" w:hAnsi="Candara"/>
          <w:sz w:val="22"/>
          <w:szCs w:val="22"/>
        </w:rPr>
        <w:fldChar w:fldCharType="begin"/>
      </w:r>
      <w:r w:rsidRPr="00FE36BE">
        <w:rPr>
          <w:rFonts w:ascii="Candara" w:hAnsi="Candara"/>
          <w:sz w:val="22"/>
          <w:szCs w:val="22"/>
        </w:rPr>
        <w:instrText xml:space="preserve"> HYPERLINK \l "note_242_313" \h </w:instrText>
      </w:r>
      <w:r w:rsidRPr="00FE36BE">
        <w:rPr>
          <w:rFonts w:ascii="Candara" w:hAnsi="Candara"/>
          <w:sz w:val="22"/>
          <w:szCs w:val="22"/>
        </w:rPr>
        <w:fldChar w:fldCharType="separate"/>
      </w:r>
      <w:r w:rsidRPr="00FE36BE">
        <w:rPr>
          <w:rStyle w:val="09Text"/>
          <w:rFonts w:ascii="Candara" w:hAnsi="Candara"/>
          <w:sz w:val="16"/>
          <w:szCs w:val="16"/>
        </w:rPr>
        <w:t>16</w:t>
      </w:r>
      <w:r w:rsidRPr="00FE36BE">
        <w:rPr>
          <w:rStyle w:val="09Text"/>
          <w:rFonts w:ascii="Candara" w:hAnsi="Candara"/>
          <w:sz w:val="16"/>
          <w:szCs w:val="16"/>
        </w:rPr>
        <w:fldChar w:fldCharType="end"/>
      </w:r>
    </w:p>
    <w:p w14:paraId="35D7BFF0" w14:textId="77777777" w:rsidR="00FE36BE" w:rsidRPr="00FE36BE" w:rsidRDefault="00FE36BE" w:rsidP="00FE36BE">
      <w:pPr>
        <w:pStyle w:val="Para01"/>
        <w:rPr>
          <w:rFonts w:ascii="Candara" w:hAnsi="Candara"/>
          <w:sz w:val="22"/>
          <w:szCs w:val="22"/>
        </w:rPr>
      </w:pPr>
      <w:r w:rsidRPr="00FE36BE">
        <w:rPr>
          <w:rFonts w:ascii="Candara" w:hAnsi="Candara"/>
          <w:sz w:val="22"/>
          <w:szCs w:val="22"/>
        </w:rPr>
        <w:t>A Barbados newspaper lamented that the £20 million “was insufficient and left the colonists uncompensated for over £27 million worth of property”. Colonial officials did not agree. The governor of the colony, Sir Lionel Smith, urged the British government to ignore slave owners’ greed, as the offer of £20 million “had given the planters a great deal of satisfaction”. The slave owners, he noted, had inflated the replacement price of their enslaved workers, and the British government should defend its own best market calculation.</w:t>
      </w:r>
      <w:bookmarkStart w:id="70" w:name="cue_242_314"/>
      <w:bookmarkEnd w:id="70"/>
      <w:r w:rsidRPr="00FE36BE">
        <w:rPr>
          <w:rFonts w:ascii="Candara" w:hAnsi="Candara"/>
          <w:sz w:val="22"/>
          <w:szCs w:val="22"/>
        </w:rPr>
        <w:fldChar w:fldCharType="begin"/>
      </w:r>
      <w:r w:rsidRPr="00FE36BE">
        <w:rPr>
          <w:rFonts w:ascii="Candara" w:hAnsi="Candara"/>
          <w:sz w:val="22"/>
          <w:szCs w:val="22"/>
        </w:rPr>
        <w:instrText xml:space="preserve"> HYPERLINK \l "note_242_314" \h </w:instrText>
      </w:r>
      <w:r w:rsidRPr="00FE36BE">
        <w:rPr>
          <w:rFonts w:ascii="Candara" w:hAnsi="Candara"/>
          <w:sz w:val="22"/>
          <w:szCs w:val="22"/>
        </w:rPr>
        <w:fldChar w:fldCharType="separate"/>
      </w:r>
      <w:r w:rsidRPr="00FE36BE">
        <w:rPr>
          <w:rStyle w:val="09Text"/>
          <w:rFonts w:ascii="Candara" w:hAnsi="Candara"/>
          <w:sz w:val="16"/>
          <w:szCs w:val="16"/>
        </w:rPr>
        <w:t>17</w:t>
      </w:r>
      <w:r w:rsidRPr="00FE36BE">
        <w:rPr>
          <w:rStyle w:val="09Text"/>
          <w:rFonts w:ascii="Candara" w:hAnsi="Candara"/>
          <w:sz w:val="16"/>
          <w:szCs w:val="16"/>
        </w:rPr>
        <w:fldChar w:fldCharType="end"/>
      </w:r>
    </w:p>
    <w:p w14:paraId="30EB3394" w14:textId="77777777" w:rsidR="00FE36BE" w:rsidRPr="00FE36BE" w:rsidRDefault="00FE36BE" w:rsidP="00FE36BE">
      <w:pPr>
        <w:pStyle w:val="Para01"/>
        <w:rPr>
          <w:rFonts w:ascii="Candara" w:hAnsi="Candara"/>
          <w:sz w:val="22"/>
          <w:szCs w:val="22"/>
        </w:rPr>
      </w:pPr>
      <w:r w:rsidRPr="00FE36BE">
        <w:rPr>
          <w:rFonts w:ascii="Candara" w:hAnsi="Candara"/>
          <w:sz w:val="22"/>
          <w:szCs w:val="22"/>
        </w:rPr>
        <w:t>It was upon the British government’s own best calculation that the reparation was paid. The divergence with colonial estimates was considerable and speaks to the attempt by slave owners to extract maximum cash from the emancipation process.</w:t>
      </w:r>
    </w:p>
    <w:p w14:paraId="4A2682FE"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 British government made its own calculations. It established an average price for an enslaved person in each colony and multiplied that by the total number of enslaved in each colony. The figure for each colony was calculated as a percentage of the total value of all enslaved persons in all West Indian colonies, which the British government had estimated at £45,281,738. Each colony, then, said Butler, “received a percentage of the indemnity equal to the ratio that the value of its slaves bore to the total value of all slaves covered by the act”.</w:t>
      </w:r>
      <w:bookmarkStart w:id="71" w:name="cue_242_315"/>
      <w:bookmarkEnd w:id="71"/>
      <w:r w:rsidRPr="00FE36BE">
        <w:rPr>
          <w:rFonts w:ascii="Candara" w:hAnsi="Candara"/>
          <w:sz w:val="22"/>
          <w:szCs w:val="22"/>
        </w:rPr>
        <w:fldChar w:fldCharType="begin"/>
      </w:r>
      <w:r w:rsidRPr="00FE36BE">
        <w:rPr>
          <w:rFonts w:ascii="Candara" w:hAnsi="Candara"/>
          <w:sz w:val="22"/>
          <w:szCs w:val="22"/>
        </w:rPr>
        <w:instrText xml:space="preserve"> HYPERLINK \l "note_242_315" \h </w:instrText>
      </w:r>
      <w:r w:rsidRPr="00FE36BE">
        <w:rPr>
          <w:rFonts w:ascii="Candara" w:hAnsi="Candara"/>
          <w:sz w:val="22"/>
          <w:szCs w:val="22"/>
        </w:rPr>
        <w:fldChar w:fldCharType="separate"/>
      </w:r>
      <w:r w:rsidRPr="00FE36BE">
        <w:rPr>
          <w:rStyle w:val="09Text"/>
          <w:rFonts w:ascii="Candara" w:hAnsi="Candara"/>
          <w:sz w:val="16"/>
          <w:szCs w:val="16"/>
        </w:rPr>
        <w:t>18</w:t>
      </w:r>
      <w:r w:rsidRPr="00FE36BE">
        <w:rPr>
          <w:rStyle w:val="09Text"/>
          <w:rFonts w:ascii="Candara" w:hAnsi="Candara"/>
          <w:sz w:val="16"/>
          <w:szCs w:val="16"/>
        </w:rPr>
        <w:fldChar w:fldCharType="end"/>
      </w:r>
      <w:r w:rsidRPr="00FE36BE">
        <w:rPr>
          <w:rFonts w:ascii="Candara" w:hAnsi="Candara"/>
          <w:sz w:val="22"/>
          <w:szCs w:val="22"/>
        </w:rPr>
        <w:t xml:space="preserve"> In 1834, there were 664,970 enslaved persons accounted for in the British colonies of the West Indies. Their distribution across the colonies is illustrated in table 11.2.</w:t>
      </w:r>
    </w:p>
    <w:p w14:paraId="427C1607" w14:textId="77777777" w:rsidR="00FE36BE" w:rsidRPr="00FE36BE" w:rsidRDefault="00FE36BE" w:rsidP="00FE36BE">
      <w:pPr>
        <w:pStyle w:val="Para30"/>
        <w:rPr>
          <w:rFonts w:ascii="Candara" w:hAnsi="Candara"/>
          <w:sz w:val="18"/>
          <w:szCs w:val="18"/>
        </w:rPr>
      </w:pPr>
      <w:bookmarkStart w:id="72" w:name="Table_11_2"/>
      <w:bookmarkEnd w:id="72"/>
      <w:r w:rsidRPr="00FE36BE">
        <w:rPr>
          <w:rStyle w:val="00Text"/>
          <w:rFonts w:ascii="Candara" w:hAnsi="Candara"/>
          <w:sz w:val="18"/>
          <w:szCs w:val="18"/>
        </w:rPr>
        <w:t>Table 11.2.</w:t>
      </w:r>
      <w:r w:rsidRPr="00FE36BE">
        <w:rPr>
          <w:rFonts w:ascii="Candara" w:hAnsi="Candara"/>
          <w:sz w:val="18"/>
          <w:szCs w:val="18"/>
        </w:rPr>
        <w:t xml:space="preserve"> Estimated Enslaved West Indian Population, 1834 </w:t>
      </w:r>
    </w:p>
    <w:tbl>
      <w:tblPr>
        <w:tblW w:w="0" w:type="auto"/>
        <w:tblInd w:w="10" w:type="dxa"/>
        <w:tblCellMar>
          <w:left w:w="10" w:type="dxa"/>
          <w:right w:w="10" w:type="dxa"/>
        </w:tblCellMar>
        <w:tblLook w:val="04A0" w:firstRow="1" w:lastRow="0" w:firstColumn="1" w:lastColumn="0" w:noHBand="0" w:noVBand="1"/>
      </w:tblPr>
      <w:tblGrid>
        <w:gridCol w:w="1591"/>
        <w:gridCol w:w="1586"/>
      </w:tblGrid>
      <w:tr w:rsidR="00FE36BE" w:rsidRPr="00FE36BE" w14:paraId="52ACB20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D65D686" w14:textId="77777777" w:rsidR="00FE36BE" w:rsidRPr="00FE36BE" w:rsidRDefault="00FE36BE" w:rsidP="00D348AD">
            <w:pPr>
              <w:pStyle w:val="Para21"/>
              <w:rPr>
                <w:rFonts w:ascii="Candara" w:hAnsi="Candara"/>
                <w:sz w:val="18"/>
                <w:szCs w:val="18"/>
              </w:rPr>
            </w:pPr>
            <w:r w:rsidRPr="00FE36BE">
              <w:rPr>
                <w:rFonts w:ascii="Candara" w:hAnsi="Candara"/>
                <w:sz w:val="18"/>
                <w:szCs w:val="18"/>
              </w:rPr>
              <w:t>Colony</w:t>
            </w:r>
          </w:p>
        </w:tc>
        <w:tc>
          <w:tcPr>
            <w:tcW w:w="0" w:type="auto"/>
            <w:tcBorders>
              <w:top w:val="single" w:sz="3" w:space="0" w:color="auto"/>
              <w:left w:val="single" w:sz="3" w:space="0" w:color="auto"/>
              <w:bottom w:val="single" w:sz="3" w:space="0" w:color="auto"/>
              <w:right w:val="single" w:sz="3" w:space="0" w:color="auto"/>
            </w:tcBorders>
            <w:vAlign w:val="center"/>
          </w:tcPr>
          <w:p w14:paraId="36E38D33" w14:textId="77777777" w:rsidR="00FE36BE" w:rsidRPr="00FE36BE" w:rsidRDefault="00FE36BE" w:rsidP="00D348AD">
            <w:pPr>
              <w:pStyle w:val="Para21"/>
              <w:rPr>
                <w:rFonts w:ascii="Candara" w:hAnsi="Candara"/>
                <w:sz w:val="18"/>
                <w:szCs w:val="18"/>
              </w:rPr>
            </w:pPr>
            <w:r w:rsidRPr="00FE36BE">
              <w:rPr>
                <w:rFonts w:ascii="Candara" w:hAnsi="Candara"/>
                <w:sz w:val="18"/>
                <w:szCs w:val="18"/>
              </w:rPr>
              <w:t>Enslaved Population</w:t>
            </w:r>
          </w:p>
        </w:tc>
      </w:tr>
      <w:tr w:rsidR="00FE36BE" w:rsidRPr="00FE36BE" w14:paraId="031E020B"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6374C0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Barbados</w:t>
            </w:r>
          </w:p>
        </w:tc>
        <w:tc>
          <w:tcPr>
            <w:tcW w:w="0" w:type="auto"/>
            <w:tcBorders>
              <w:top w:val="single" w:sz="3" w:space="0" w:color="auto"/>
              <w:left w:val="single" w:sz="3" w:space="0" w:color="auto"/>
              <w:bottom w:val="single" w:sz="3" w:space="0" w:color="auto"/>
              <w:right w:val="single" w:sz="3" w:space="0" w:color="auto"/>
            </w:tcBorders>
            <w:vAlign w:val="center"/>
          </w:tcPr>
          <w:p w14:paraId="526B8D7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83,150</w:t>
            </w:r>
          </w:p>
        </w:tc>
      </w:tr>
      <w:tr w:rsidR="00FE36BE" w:rsidRPr="00FE36BE" w14:paraId="1CC21C77"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141193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Kitts</w:t>
            </w:r>
          </w:p>
        </w:tc>
        <w:tc>
          <w:tcPr>
            <w:tcW w:w="0" w:type="auto"/>
            <w:tcBorders>
              <w:top w:val="single" w:sz="3" w:space="0" w:color="auto"/>
              <w:left w:val="single" w:sz="3" w:space="0" w:color="auto"/>
              <w:bottom w:val="single" w:sz="3" w:space="0" w:color="auto"/>
              <w:right w:val="single" w:sz="3" w:space="0" w:color="auto"/>
            </w:tcBorders>
            <w:vAlign w:val="center"/>
          </w:tcPr>
          <w:p w14:paraId="297230AD"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17,525</w:t>
            </w:r>
          </w:p>
        </w:tc>
      </w:tr>
      <w:tr w:rsidR="00FE36BE" w:rsidRPr="00FE36BE" w14:paraId="716C261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DCABCD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Nevis</w:t>
            </w:r>
          </w:p>
        </w:tc>
        <w:tc>
          <w:tcPr>
            <w:tcW w:w="0" w:type="auto"/>
            <w:tcBorders>
              <w:top w:val="single" w:sz="3" w:space="0" w:color="auto"/>
              <w:left w:val="single" w:sz="3" w:space="0" w:color="auto"/>
              <w:bottom w:val="single" w:sz="3" w:space="0" w:color="auto"/>
              <w:right w:val="single" w:sz="3" w:space="0" w:color="auto"/>
            </w:tcBorders>
            <w:vAlign w:val="center"/>
          </w:tcPr>
          <w:p w14:paraId="45BCA75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8,840</w:t>
            </w:r>
          </w:p>
        </w:tc>
      </w:tr>
      <w:tr w:rsidR="00FE36BE" w:rsidRPr="00FE36BE" w14:paraId="2A4D893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CFD513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Antigua</w:t>
            </w:r>
          </w:p>
        </w:tc>
        <w:tc>
          <w:tcPr>
            <w:tcW w:w="0" w:type="auto"/>
            <w:tcBorders>
              <w:top w:val="single" w:sz="3" w:space="0" w:color="auto"/>
              <w:left w:val="single" w:sz="3" w:space="0" w:color="auto"/>
              <w:bottom w:val="single" w:sz="3" w:space="0" w:color="auto"/>
              <w:right w:val="single" w:sz="3" w:space="0" w:color="auto"/>
            </w:tcBorders>
            <w:vAlign w:val="center"/>
          </w:tcPr>
          <w:p w14:paraId="7D225CC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28,130</w:t>
            </w:r>
          </w:p>
        </w:tc>
      </w:tr>
      <w:tr w:rsidR="00FE36BE" w:rsidRPr="00FE36BE" w14:paraId="171AD1BE"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B96F8A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Montserrat</w:t>
            </w:r>
          </w:p>
        </w:tc>
        <w:tc>
          <w:tcPr>
            <w:tcW w:w="0" w:type="auto"/>
            <w:tcBorders>
              <w:top w:val="single" w:sz="3" w:space="0" w:color="auto"/>
              <w:left w:val="single" w:sz="3" w:space="0" w:color="auto"/>
              <w:bottom w:val="single" w:sz="3" w:space="0" w:color="auto"/>
              <w:right w:val="single" w:sz="3" w:space="0" w:color="auto"/>
            </w:tcBorders>
            <w:vAlign w:val="center"/>
          </w:tcPr>
          <w:p w14:paraId="69CDCC1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6,400</w:t>
            </w:r>
          </w:p>
        </w:tc>
      </w:tr>
      <w:tr w:rsidR="00FE36BE" w:rsidRPr="00FE36BE" w14:paraId="0DBE3D8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AED1B85" w14:textId="77777777" w:rsidR="00FE36BE" w:rsidRPr="00FE36BE" w:rsidRDefault="00FE36BE" w:rsidP="00D348AD">
            <w:pPr>
              <w:pStyle w:val="Para06"/>
              <w:rPr>
                <w:rFonts w:ascii="Candara" w:hAnsi="Candara"/>
                <w:sz w:val="18"/>
                <w:szCs w:val="18"/>
              </w:rPr>
            </w:pPr>
            <w:r w:rsidRPr="00FE36BE">
              <w:rPr>
                <w:rFonts w:ascii="Candara" w:hAnsi="Candara"/>
                <w:sz w:val="18"/>
                <w:szCs w:val="18"/>
              </w:rPr>
              <w:lastRenderedPageBreak/>
              <w:t>Virgin Islands</w:t>
            </w:r>
          </w:p>
        </w:tc>
        <w:tc>
          <w:tcPr>
            <w:tcW w:w="0" w:type="auto"/>
            <w:tcBorders>
              <w:top w:val="single" w:sz="3" w:space="0" w:color="auto"/>
              <w:left w:val="single" w:sz="3" w:space="0" w:color="auto"/>
              <w:bottom w:val="single" w:sz="3" w:space="0" w:color="auto"/>
              <w:right w:val="single" w:sz="3" w:space="0" w:color="auto"/>
            </w:tcBorders>
            <w:vAlign w:val="center"/>
          </w:tcPr>
          <w:p w14:paraId="7545B1AD"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5,135</w:t>
            </w:r>
          </w:p>
        </w:tc>
      </w:tr>
      <w:tr w:rsidR="00FE36BE" w:rsidRPr="00FE36BE" w14:paraId="32F25913"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64A108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Jamaica</w:t>
            </w:r>
          </w:p>
        </w:tc>
        <w:tc>
          <w:tcPr>
            <w:tcW w:w="0" w:type="auto"/>
            <w:tcBorders>
              <w:top w:val="single" w:sz="3" w:space="0" w:color="auto"/>
              <w:left w:val="single" w:sz="3" w:space="0" w:color="auto"/>
              <w:bottom w:val="single" w:sz="3" w:space="0" w:color="auto"/>
              <w:right w:val="single" w:sz="3" w:space="0" w:color="auto"/>
            </w:tcBorders>
            <w:vAlign w:val="center"/>
          </w:tcPr>
          <w:p w14:paraId="7268A0E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311,070</w:t>
            </w:r>
          </w:p>
        </w:tc>
      </w:tr>
      <w:tr w:rsidR="00FE36BE" w:rsidRPr="00FE36BE" w14:paraId="6BB9776A"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64FF19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Dominica</w:t>
            </w:r>
          </w:p>
        </w:tc>
        <w:tc>
          <w:tcPr>
            <w:tcW w:w="0" w:type="auto"/>
            <w:tcBorders>
              <w:top w:val="single" w:sz="3" w:space="0" w:color="auto"/>
              <w:left w:val="single" w:sz="3" w:space="0" w:color="auto"/>
              <w:bottom w:val="single" w:sz="3" w:space="0" w:color="auto"/>
              <w:right w:val="single" w:sz="3" w:space="0" w:color="auto"/>
            </w:tcBorders>
            <w:vAlign w:val="center"/>
          </w:tcPr>
          <w:p w14:paraId="13F2FBF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14,165</w:t>
            </w:r>
          </w:p>
        </w:tc>
      </w:tr>
      <w:tr w:rsidR="00FE36BE" w:rsidRPr="00FE36BE" w14:paraId="16094B9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527164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Lucia</w:t>
            </w:r>
          </w:p>
        </w:tc>
        <w:tc>
          <w:tcPr>
            <w:tcW w:w="0" w:type="auto"/>
            <w:tcBorders>
              <w:top w:val="single" w:sz="3" w:space="0" w:color="auto"/>
              <w:left w:val="single" w:sz="3" w:space="0" w:color="auto"/>
              <w:bottom w:val="single" w:sz="3" w:space="0" w:color="auto"/>
              <w:right w:val="single" w:sz="3" w:space="0" w:color="auto"/>
            </w:tcBorders>
            <w:vAlign w:val="center"/>
          </w:tcPr>
          <w:p w14:paraId="078F0D9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13,275</w:t>
            </w:r>
          </w:p>
        </w:tc>
      </w:tr>
      <w:tr w:rsidR="00FE36BE" w:rsidRPr="00FE36BE" w14:paraId="048C3EC3"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DA5FC1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Vincent</w:t>
            </w:r>
          </w:p>
        </w:tc>
        <w:tc>
          <w:tcPr>
            <w:tcW w:w="0" w:type="auto"/>
            <w:tcBorders>
              <w:top w:val="single" w:sz="3" w:space="0" w:color="auto"/>
              <w:left w:val="single" w:sz="3" w:space="0" w:color="auto"/>
              <w:bottom w:val="single" w:sz="3" w:space="0" w:color="auto"/>
              <w:right w:val="single" w:sz="3" w:space="0" w:color="auto"/>
            </w:tcBorders>
            <w:vAlign w:val="center"/>
          </w:tcPr>
          <w:p w14:paraId="63C480C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22,250</w:t>
            </w:r>
          </w:p>
        </w:tc>
      </w:tr>
      <w:tr w:rsidR="00FE36BE" w:rsidRPr="00FE36BE" w14:paraId="5F0F25E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3507FB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Grenada</w:t>
            </w:r>
          </w:p>
        </w:tc>
        <w:tc>
          <w:tcPr>
            <w:tcW w:w="0" w:type="auto"/>
            <w:tcBorders>
              <w:top w:val="single" w:sz="3" w:space="0" w:color="auto"/>
              <w:left w:val="single" w:sz="3" w:space="0" w:color="auto"/>
              <w:bottom w:val="single" w:sz="3" w:space="0" w:color="auto"/>
              <w:right w:val="single" w:sz="3" w:space="0" w:color="auto"/>
            </w:tcBorders>
            <w:vAlign w:val="center"/>
          </w:tcPr>
          <w:p w14:paraId="1240E7F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23,645</w:t>
            </w:r>
          </w:p>
        </w:tc>
      </w:tr>
      <w:tr w:rsidR="00FE36BE" w:rsidRPr="00FE36BE" w14:paraId="36580E3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32DD37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Tobago</w:t>
            </w:r>
          </w:p>
        </w:tc>
        <w:tc>
          <w:tcPr>
            <w:tcW w:w="0" w:type="auto"/>
            <w:tcBorders>
              <w:top w:val="single" w:sz="3" w:space="0" w:color="auto"/>
              <w:left w:val="single" w:sz="3" w:space="0" w:color="auto"/>
              <w:bottom w:val="single" w:sz="3" w:space="0" w:color="auto"/>
              <w:right w:val="single" w:sz="3" w:space="0" w:color="auto"/>
            </w:tcBorders>
            <w:vAlign w:val="center"/>
          </w:tcPr>
          <w:p w14:paraId="7016D0E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11,545</w:t>
            </w:r>
          </w:p>
        </w:tc>
      </w:tr>
      <w:tr w:rsidR="00FE36BE" w:rsidRPr="00FE36BE" w14:paraId="787B191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B275DE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Trinidad</w:t>
            </w:r>
          </w:p>
        </w:tc>
        <w:tc>
          <w:tcPr>
            <w:tcW w:w="0" w:type="auto"/>
            <w:tcBorders>
              <w:top w:val="single" w:sz="3" w:space="0" w:color="auto"/>
              <w:left w:val="single" w:sz="3" w:space="0" w:color="auto"/>
              <w:bottom w:val="single" w:sz="3" w:space="0" w:color="auto"/>
              <w:right w:val="single" w:sz="3" w:space="0" w:color="auto"/>
            </w:tcBorders>
            <w:vAlign w:val="center"/>
          </w:tcPr>
          <w:p w14:paraId="6049562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20,655</w:t>
            </w:r>
          </w:p>
        </w:tc>
      </w:tr>
      <w:tr w:rsidR="00FE36BE" w:rsidRPr="00FE36BE" w14:paraId="351CEA7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57D878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Demerara-Essequibo</w:t>
            </w:r>
          </w:p>
        </w:tc>
        <w:tc>
          <w:tcPr>
            <w:tcW w:w="0" w:type="auto"/>
            <w:tcBorders>
              <w:top w:val="single" w:sz="3" w:space="0" w:color="auto"/>
              <w:left w:val="single" w:sz="3" w:space="0" w:color="auto"/>
              <w:bottom w:val="single" w:sz="3" w:space="0" w:color="auto"/>
              <w:right w:val="single" w:sz="3" w:space="0" w:color="auto"/>
            </w:tcBorders>
            <w:vAlign w:val="center"/>
          </w:tcPr>
          <w:p w14:paraId="5BC524AD"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64,185</w:t>
            </w:r>
          </w:p>
        </w:tc>
      </w:tr>
      <w:tr w:rsidR="00FE36BE" w:rsidRPr="00FE36BE" w14:paraId="218D1BD3"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15CE85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Berbice</w:t>
            </w:r>
          </w:p>
        </w:tc>
        <w:tc>
          <w:tcPr>
            <w:tcW w:w="0" w:type="auto"/>
            <w:tcBorders>
              <w:top w:val="single" w:sz="3" w:space="0" w:color="auto"/>
              <w:left w:val="single" w:sz="3" w:space="0" w:color="auto"/>
              <w:bottom w:val="single" w:sz="3" w:space="0" w:color="auto"/>
              <w:right w:val="single" w:sz="3" w:space="0" w:color="auto"/>
            </w:tcBorders>
            <w:vAlign w:val="center"/>
          </w:tcPr>
          <w:p w14:paraId="544977F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19,360</w:t>
            </w:r>
          </w:p>
        </w:tc>
      </w:tr>
      <w:tr w:rsidR="00FE36BE" w:rsidRPr="00FE36BE" w14:paraId="1CDDC407"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D712B3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Cayman Islands</w:t>
            </w:r>
          </w:p>
        </w:tc>
        <w:tc>
          <w:tcPr>
            <w:tcW w:w="0" w:type="auto"/>
            <w:tcBorders>
              <w:top w:val="single" w:sz="3" w:space="0" w:color="auto"/>
              <w:left w:val="single" w:sz="3" w:space="0" w:color="auto"/>
              <w:bottom w:val="single" w:sz="3" w:space="0" w:color="auto"/>
              <w:right w:val="single" w:sz="3" w:space="0" w:color="auto"/>
            </w:tcBorders>
            <w:vAlign w:val="center"/>
          </w:tcPr>
          <w:p w14:paraId="3994CF3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985</w:t>
            </w:r>
          </w:p>
        </w:tc>
      </w:tr>
      <w:tr w:rsidR="00FE36BE" w:rsidRPr="00FE36BE" w14:paraId="66C724E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2B5F49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Bahamas</w:t>
            </w:r>
          </w:p>
        </w:tc>
        <w:tc>
          <w:tcPr>
            <w:tcW w:w="0" w:type="auto"/>
            <w:tcBorders>
              <w:top w:val="single" w:sz="3" w:space="0" w:color="auto"/>
              <w:left w:val="single" w:sz="3" w:space="0" w:color="auto"/>
              <w:bottom w:val="single" w:sz="3" w:space="0" w:color="auto"/>
              <w:right w:val="single" w:sz="3" w:space="0" w:color="auto"/>
            </w:tcBorders>
            <w:vAlign w:val="center"/>
          </w:tcPr>
          <w:p w14:paraId="1976347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9,995</w:t>
            </w:r>
          </w:p>
        </w:tc>
      </w:tr>
      <w:tr w:rsidR="00FE36BE" w:rsidRPr="00FE36BE" w14:paraId="210B9D5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0E0805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Anguilla</w:t>
            </w:r>
          </w:p>
        </w:tc>
        <w:tc>
          <w:tcPr>
            <w:tcW w:w="0" w:type="auto"/>
            <w:tcBorders>
              <w:top w:val="single" w:sz="3" w:space="0" w:color="auto"/>
              <w:left w:val="single" w:sz="3" w:space="0" w:color="auto"/>
              <w:bottom w:val="single" w:sz="3" w:space="0" w:color="auto"/>
              <w:right w:val="single" w:sz="3" w:space="0" w:color="auto"/>
            </w:tcBorders>
            <w:vAlign w:val="center"/>
          </w:tcPr>
          <w:p w14:paraId="3FA7BD0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2,260</w:t>
            </w:r>
          </w:p>
        </w:tc>
      </w:tr>
      <w:tr w:rsidR="00FE36BE" w:rsidRPr="00FE36BE" w14:paraId="16B9278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59F27A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Barbuda</w:t>
            </w:r>
          </w:p>
        </w:tc>
        <w:tc>
          <w:tcPr>
            <w:tcW w:w="0" w:type="auto"/>
            <w:tcBorders>
              <w:top w:val="single" w:sz="3" w:space="0" w:color="auto"/>
              <w:left w:val="single" w:sz="3" w:space="0" w:color="auto"/>
              <w:bottom w:val="single" w:sz="3" w:space="0" w:color="auto"/>
              <w:right w:val="single" w:sz="3" w:space="0" w:color="auto"/>
            </w:tcBorders>
            <w:vAlign w:val="center"/>
          </w:tcPr>
          <w:p w14:paraId="55C236B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505</w:t>
            </w:r>
          </w:p>
        </w:tc>
      </w:tr>
      <w:tr w:rsidR="00FE36BE" w:rsidRPr="00FE36BE" w14:paraId="128F423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82D355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Total</w:t>
            </w:r>
          </w:p>
        </w:tc>
        <w:tc>
          <w:tcPr>
            <w:tcW w:w="0" w:type="auto"/>
            <w:tcBorders>
              <w:top w:val="single" w:sz="3" w:space="0" w:color="auto"/>
              <w:left w:val="single" w:sz="3" w:space="0" w:color="auto"/>
              <w:bottom w:val="single" w:sz="3" w:space="0" w:color="auto"/>
              <w:right w:val="single" w:sz="3" w:space="0" w:color="auto"/>
            </w:tcBorders>
            <w:vAlign w:val="center"/>
          </w:tcPr>
          <w:p w14:paraId="5964FEC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664,970</w:t>
            </w:r>
          </w:p>
        </w:tc>
      </w:tr>
    </w:tbl>
    <w:p w14:paraId="1CECA9C7" w14:textId="77777777" w:rsidR="00FE36BE" w:rsidRPr="00FE36BE" w:rsidRDefault="00FE36BE" w:rsidP="00FE36BE">
      <w:pPr>
        <w:pStyle w:val="Para38"/>
        <w:rPr>
          <w:rFonts w:ascii="Candara" w:hAnsi="Candara"/>
          <w:sz w:val="18"/>
          <w:szCs w:val="18"/>
        </w:rPr>
      </w:pPr>
      <w:r w:rsidRPr="00FE36BE">
        <w:rPr>
          <w:rStyle w:val="00Text"/>
          <w:rFonts w:ascii="Candara" w:hAnsi="Candara"/>
          <w:sz w:val="18"/>
          <w:szCs w:val="18"/>
        </w:rPr>
        <w:t>Source:</w:t>
      </w:r>
      <w:r w:rsidRPr="00FE36BE">
        <w:rPr>
          <w:rFonts w:ascii="Candara" w:hAnsi="Candara"/>
          <w:sz w:val="18"/>
          <w:szCs w:val="18"/>
        </w:rPr>
        <w:t xml:space="preserve"> B.W. Higman, </w:t>
      </w:r>
      <w:r w:rsidRPr="00FE36BE">
        <w:rPr>
          <w:rStyle w:val="00Text"/>
          <w:rFonts w:ascii="Candara" w:hAnsi="Candara"/>
          <w:sz w:val="18"/>
          <w:szCs w:val="18"/>
        </w:rPr>
        <w:t>Slave Populations of the British Caribbean, 1807–1834</w:t>
      </w:r>
      <w:r w:rsidRPr="00FE36BE">
        <w:rPr>
          <w:rFonts w:ascii="Candara" w:hAnsi="Candara"/>
          <w:sz w:val="18"/>
          <w:szCs w:val="18"/>
        </w:rPr>
        <w:t xml:space="preserve"> (Baltimore: Johns Hopkins University Press, 1984), 418.</w:t>
      </w:r>
    </w:p>
    <w:p w14:paraId="3E39F0B0" w14:textId="77777777" w:rsidR="00FE36BE" w:rsidRPr="00FE36BE" w:rsidRDefault="00FE36BE" w:rsidP="00FE36BE">
      <w:pPr>
        <w:pStyle w:val="Para01"/>
        <w:rPr>
          <w:rFonts w:ascii="Candara" w:hAnsi="Candara"/>
          <w:sz w:val="22"/>
          <w:szCs w:val="22"/>
        </w:rPr>
      </w:pPr>
      <w:r w:rsidRPr="00FE36BE">
        <w:rPr>
          <w:rFonts w:ascii="Candara" w:hAnsi="Candara"/>
          <w:sz w:val="22"/>
          <w:szCs w:val="22"/>
        </w:rPr>
        <w:t>Furthermore, the British government paid compensation based on locally established values for enslaved adults and children. Children played an important part in the labour regimes of plantations and were considered a prime asset by slave owners. Government agreed and supported the claims made for child values. The average compensation payment for adults and children in the colonies varied and was explained in terms of the relative regional prosperity of the sugar plantation economy, as shown in table 11.3.</w:t>
      </w:r>
      <w:bookmarkStart w:id="73" w:name="cue_242_316"/>
      <w:bookmarkEnd w:id="73"/>
      <w:r w:rsidRPr="00FE36BE">
        <w:rPr>
          <w:rFonts w:ascii="Candara" w:hAnsi="Candara"/>
          <w:sz w:val="22"/>
          <w:szCs w:val="22"/>
        </w:rPr>
        <w:fldChar w:fldCharType="begin"/>
      </w:r>
      <w:r w:rsidRPr="00FE36BE">
        <w:rPr>
          <w:rFonts w:ascii="Candara" w:hAnsi="Candara"/>
          <w:sz w:val="22"/>
          <w:szCs w:val="22"/>
        </w:rPr>
        <w:instrText xml:space="preserve"> HYPERLINK \l "note_242_316" \h </w:instrText>
      </w:r>
      <w:r w:rsidRPr="00FE36BE">
        <w:rPr>
          <w:rFonts w:ascii="Candara" w:hAnsi="Candara"/>
          <w:sz w:val="22"/>
          <w:szCs w:val="22"/>
        </w:rPr>
        <w:fldChar w:fldCharType="separate"/>
      </w:r>
      <w:r w:rsidRPr="00FE36BE">
        <w:rPr>
          <w:rStyle w:val="09Text"/>
          <w:rFonts w:ascii="Candara" w:hAnsi="Candara"/>
          <w:sz w:val="16"/>
          <w:szCs w:val="16"/>
        </w:rPr>
        <w:t>19</w:t>
      </w:r>
      <w:r w:rsidRPr="00FE36BE">
        <w:rPr>
          <w:rStyle w:val="09Text"/>
          <w:rFonts w:ascii="Candara" w:hAnsi="Candara"/>
          <w:sz w:val="16"/>
          <w:szCs w:val="16"/>
        </w:rPr>
        <w:fldChar w:fldCharType="end"/>
      </w:r>
    </w:p>
    <w:p w14:paraId="4FD36F05" w14:textId="77777777" w:rsidR="00FE36BE" w:rsidRPr="00FE36BE" w:rsidRDefault="00FE36BE" w:rsidP="00FE36BE">
      <w:pPr>
        <w:pStyle w:val="Para30"/>
        <w:rPr>
          <w:rFonts w:ascii="Candara" w:hAnsi="Candara"/>
          <w:sz w:val="18"/>
          <w:szCs w:val="18"/>
        </w:rPr>
      </w:pPr>
      <w:bookmarkStart w:id="74" w:name="Table_11_3"/>
      <w:bookmarkEnd w:id="74"/>
      <w:r w:rsidRPr="00FE36BE">
        <w:rPr>
          <w:rStyle w:val="00Text"/>
          <w:rFonts w:ascii="Candara" w:hAnsi="Candara"/>
          <w:sz w:val="18"/>
          <w:szCs w:val="18"/>
        </w:rPr>
        <w:t>Table 11.3.</w:t>
      </w:r>
      <w:r w:rsidRPr="00FE36BE">
        <w:rPr>
          <w:rFonts w:ascii="Candara" w:hAnsi="Candara"/>
          <w:sz w:val="18"/>
          <w:szCs w:val="18"/>
        </w:rPr>
        <w:t xml:space="preserve"> Average Value of Working Enslaved Adult West Indians, 1834 </w:t>
      </w:r>
    </w:p>
    <w:tbl>
      <w:tblPr>
        <w:tblW w:w="0" w:type="auto"/>
        <w:tblInd w:w="10" w:type="dxa"/>
        <w:tblCellMar>
          <w:left w:w="10" w:type="dxa"/>
          <w:right w:w="10" w:type="dxa"/>
        </w:tblCellMar>
        <w:tblLook w:val="04A0" w:firstRow="1" w:lastRow="0" w:firstColumn="1" w:lastColumn="0" w:noHBand="0" w:noVBand="1"/>
      </w:tblPr>
      <w:tblGrid>
        <w:gridCol w:w="1283"/>
        <w:gridCol w:w="1675"/>
      </w:tblGrid>
      <w:tr w:rsidR="00FE36BE" w:rsidRPr="00FE36BE" w14:paraId="79D4B2C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D56FFE9" w14:textId="77777777" w:rsidR="00FE36BE" w:rsidRPr="00FE36BE" w:rsidRDefault="00FE36BE" w:rsidP="00D348AD">
            <w:pPr>
              <w:pStyle w:val="Para36"/>
              <w:rPr>
                <w:rFonts w:ascii="Candara" w:hAnsi="Candara"/>
                <w:sz w:val="18"/>
                <w:szCs w:val="18"/>
              </w:rPr>
            </w:pPr>
            <w:r w:rsidRPr="00FE36BE">
              <w:rPr>
                <w:rFonts w:ascii="Candara" w:hAnsi="Candara"/>
                <w:sz w:val="18"/>
                <w:szCs w:val="18"/>
              </w:rPr>
              <w:t>Colony</w:t>
            </w:r>
          </w:p>
        </w:tc>
        <w:tc>
          <w:tcPr>
            <w:tcW w:w="0" w:type="auto"/>
            <w:tcBorders>
              <w:top w:val="single" w:sz="3" w:space="0" w:color="auto"/>
              <w:left w:val="single" w:sz="3" w:space="0" w:color="auto"/>
              <w:bottom w:val="single" w:sz="3" w:space="0" w:color="auto"/>
              <w:right w:val="single" w:sz="3" w:space="0" w:color="auto"/>
            </w:tcBorders>
            <w:vAlign w:val="center"/>
          </w:tcPr>
          <w:p w14:paraId="0DA47978" w14:textId="77777777" w:rsidR="00FE36BE" w:rsidRPr="00FE36BE" w:rsidRDefault="00FE36BE" w:rsidP="00D348AD">
            <w:pPr>
              <w:pStyle w:val="Para36"/>
              <w:rPr>
                <w:rFonts w:ascii="Candara" w:hAnsi="Candara"/>
                <w:sz w:val="18"/>
                <w:szCs w:val="18"/>
              </w:rPr>
            </w:pPr>
            <w:r w:rsidRPr="00FE36BE">
              <w:rPr>
                <w:rFonts w:ascii="Candara" w:hAnsi="Candara"/>
                <w:sz w:val="18"/>
                <w:szCs w:val="18"/>
              </w:rPr>
              <w:t>£</w:t>
            </w:r>
          </w:p>
        </w:tc>
      </w:tr>
      <w:tr w:rsidR="00FE36BE" w:rsidRPr="00FE36BE" w14:paraId="70CBA78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FDA7EDC" w14:textId="77777777" w:rsidR="00FE36BE" w:rsidRPr="00FE36BE" w:rsidRDefault="00FE36BE" w:rsidP="00D348AD">
            <w:pPr>
              <w:pStyle w:val="Para08"/>
              <w:rPr>
                <w:rFonts w:ascii="Candara" w:hAnsi="Candara"/>
                <w:sz w:val="18"/>
                <w:szCs w:val="18"/>
              </w:rPr>
            </w:pPr>
            <w:r w:rsidRPr="00FE36BE">
              <w:rPr>
                <w:rFonts w:ascii="Candara" w:hAnsi="Candara"/>
                <w:sz w:val="18"/>
                <w:szCs w:val="18"/>
              </w:rPr>
              <w:t>British Honduras</w:t>
            </w:r>
          </w:p>
        </w:tc>
        <w:tc>
          <w:tcPr>
            <w:tcW w:w="0" w:type="auto"/>
            <w:tcBorders>
              <w:top w:val="single" w:sz="3" w:space="0" w:color="auto"/>
              <w:left w:val="single" w:sz="3" w:space="0" w:color="auto"/>
              <w:bottom w:val="single" w:sz="3" w:space="0" w:color="auto"/>
              <w:right w:val="single" w:sz="3" w:space="0" w:color="auto"/>
            </w:tcBorders>
            <w:vAlign w:val="center"/>
          </w:tcPr>
          <w:p w14:paraId="2C41BBBA" w14:textId="77777777" w:rsidR="00FE36BE" w:rsidRPr="00FE36BE" w:rsidRDefault="00FE36BE" w:rsidP="00D348AD">
            <w:pPr>
              <w:pStyle w:val="Para08"/>
              <w:rPr>
                <w:rFonts w:ascii="Candara" w:hAnsi="Candara"/>
                <w:sz w:val="18"/>
                <w:szCs w:val="18"/>
              </w:rPr>
            </w:pPr>
            <w:r w:rsidRPr="00FE36BE">
              <w:rPr>
                <w:rFonts w:ascii="Candara" w:hAnsi="Candara"/>
                <w:sz w:val="18"/>
                <w:szCs w:val="18"/>
              </w:rPr>
              <w:t>60.9 [£42,700 in 2010]</w:t>
            </w:r>
          </w:p>
        </w:tc>
      </w:tr>
      <w:tr w:rsidR="00FE36BE" w:rsidRPr="00FE36BE" w14:paraId="38B68AF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FE6175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British Guiana</w:t>
            </w:r>
          </w:p>
        </w:tc>
        <w:tc>
          <w:tcPr>
            <w:tcW w:w="0" w:type="auto"/>
            <w:tcBorders>
              <w:top w:val="single" w:sz="3" w:space="0" w:color="auto"/>
              <w:left w:val="single" w:sz="3" w:space="0" w:color="auto"/>
              <w:bottom w:val="single" w:sz="3" w:space="0" w:color="auto"/>
              <w:right w:val="single" w:sz="3" w:space="0" w:color="auto"/>
            </w:tcBorders>
            <w:vAlign w:val="center"/>
          </w:tcPr>
          <w:p w14:paraId="491B55C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58.5</w:t>
            </w:r>
          </w:p>
        </w:tc>
      </w:tr>
      <w:tr w:rsidR="00FE36BE" w:rsidRPr="00FE36BE" w14:paraId="1B617763"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DFDC6C6"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Trinidad</w:t>
            </w:r>
          </w:p>
        </w:tc>
        <w:tc>
          <w:tcPr>
            <w:tcW w:w="0" w:type="auto"/>
            <w:tcBorders>
              <w:top w:val="single" w:sz="3" w:space="0" w:color="auto"/>
              <w:left w:val="single" w:sz="3" w:space="0" w:color="auto"/>
              <w:bottom w:val="single" w:sz="3" w:space="0" w:color="auto"/>
              <w:right w:val="single" w:sz="3" w:space="0" w:color="auto"/>
            </w:tcBorders>
            <w:vAlign w:val="center"/>
          </w:tcPr>
          <w:p w14:paraId="1BBF77B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55.5</w:t>
            </w:r>
          </w:p>
        </w:tc>
      </w:tr>
      <w:tr w:rsidR="00FE36BE" w:rsidRPr="00FE36BE" w14:paraId="01A2AC17"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52DCFC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 xml:space="preserve">St Vincent </w:t>
            </w:r>
          </w:p>
        </w:tc>
        <w:tc>
          <w:tcPr>
            <w:tcW w:w="0" w:type="auto"/>
            <w:tcBorders>
              <w:top w:val="single" w:sz="3" w:space="0" w:color="auto"/>
              <w:left w:val="single" w:sz="3" w:space="0" w:color="auto"/>
              <w:bottom w:val="single" w:sz="3" w:space="0" w:color="auto"/>
              <w:right w:val="single" w:sz="3" w:space="0" w:color="auto"/>
            </w:tcBorders>
            <w:vAlign w:val="center"/>
          </w:tcPr>
          <w:p w14:paraId="4988013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30.6</w:t>
            </w:r>
          </w:p>
        </w:tc>
      </w:tr>
      <w:tr w:rsidR="00FE36BE" w:rsidRPr="00FE36BE" w14:paraId="2F1D4FF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8B0A86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Grenada</w:t>
            </w:r>
          </w:p>
        </w:tc>
        <w:tc>
          <w:tcPr>
            <w:tcW w:w="0" w:type="auto"/>
            <w:tcBorders>
              <w:top w:val="single" w:sz="3" w:space="0" w:color="auto"/>
              <w:left w:val="single" w:sz="3" w:space="0" w:color="auto"/>
              <w:bottom w:val="single" w:sz="3" w:space="0" w:color="auto"/>
              <w:right w:val="single" w:sz="3" w:space="0" w:color="auto"/>
            </w:tcBorders>
            <w:vAlign w:val="center"/>
          </w:tcPr>
          <w:p w14:paraId="0C3A2EAD"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30.0</w:t>
            </w:r>
          </w:p>
        </w:tc>
      </w:tr>
      <w:tr w:rsidR="00FE36BE" w:rsidRPr="00FE36BE" w14:paraId="1F4321F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2912AD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Lucia</w:t>
            </w:r>
          </w:p>
        </w:tc>
        <w:tc>
          <w:tcPr>
            <w:tcW w:w="0" w:type="auto"/>
            <w:tcBorders>
              <w:top w:val="single" w:sz="3" w:space="0" w:color="auto"/>
              <w:left w:val="single" w:sz="3" w:space="0" w:color="auto"/>
              <w:bottom w:val="single" w:sz="3" w:space="0" w:color="auto"/>
              <w:right w:val="single" w:sz="3" w:space="0" w:color="auto"/>
            </w:tcBorders>
            <w:vAlign w:val="center"/>
          </w:tcPr>
          <w:p w14:paraId="6624725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29.9</w:t>
            </w:r>
          </w:p>
        </w:tc>
      </w:tr>
      <w:tr w:rsidR="00FE36BE" w:rsidRPr="00FE36BE" w14:paraId="3B0F194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D7BAB1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Barbados</w:t>
            </w:r>
          </w:p>
        </w:tc>
        <w:tc>
          <w:tcPr>
            <w:tcW w:w="0" w:type="auto"/>
            <w:tcBorders>
              <w:top w:val="single" w:sz="3" w:space="0" w:color="auto"/>
              <w:left w:val="single" w:sz="3" w:space="0" w:color="auto"/>
              <w:bottom w:val="single" w:sz="3" w:space="0" w:color="auto"/>
              <w:right w:val="single" w:sz="3" w:space="0" w:color="auto"/>
            </w:tcBorders>
            <w:vAlign w:val="center"/>
          </w:tcPr>
          <w:p w14:paraId="3C5F9CC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24.9</w:t>
            </w:r>
          </w:p>
        </w:tc>
      </w:tr>
      <w:tr w:rsidR="00FE36BE" w:rsidRPr="00FE36BE" w14:paraId="24D52EF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D4A549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Jamaica</w:t>
            </w:r>
          </w:p>
        </w:tc>
        <w:tc>
          <w:tcPr>
            <w:tcW w:w="0" w:type="auto"/>
            <w:tcBorders>
              <w:top w:val="single" w:sz="3" w:space="0" w:color="auto"/>
              <w:left w:val="single" w:sz="3" w:space="0" w:color="auto"/>
              <w:bottom w:val="single" w:sz="3" w:space="0" w:color="auto"/>
              <w:right w:val="single" w:sz="3" w:space="0" w:color="auto"/>
            </w:tcBorders>
            <w:vAlign w:val="center"/>
          </w:tcPr>
          <w:p w14:paraId="379D33B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22.9</w:t>
            </w:r>
          </w:p>
        </w:tc>
      </w:tr>
      <w:tr w:rsidR="00FE36BE" w:rsidRPr="00FE36BE" w14:paraId="707651C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178C5B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Dominica</w:t>
            </w:r>
          </w:p>
        </w:tc>
        <w:tc>
          <w:tcPr>
            <w:tcW w:w="0" w:type="auto"/>
            <w:tcBorders>
              <w:top w:val="single" w:sz="3" w:space="0" w:color="auto"/>
              <w:left w:val="single" w:sz="3" w:space="0" w:color="auto"/>
              <w:bottom w:val="single" w:sz="3" w:space="0" w:color="auto"/>
              <w:right w:val="single" w:sz="3" w:space="0" w:color="auto"/>
            </w:tcBorders>
            <w:vAlign w:val="center"/>
          </w:tcPr>
          <w:p w14:paraId="3146494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22.7</w:t>
            </w:r>
          </w:p>
        </w:tc>
      </w:tr>
      <w:tr w:rsidR="00FE36BE" w:rsidRPr="00FE36BE" w14:paraId="18E06EA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62B49F6"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Tobago</w:t>
            </w:r>
          </w:p>
        </w:tc>
        <w:tc>
          <w:tcPr>
            <w:tcW w:w="0" w:type="auto"/>
            <w:tcBorders>
              <w:top w:val="single" w:sz="3" w:space="0" w:color="auto"/>
              <w:left w:val="single" w:sz="3" w:space="0" w:color="auto"/>
              <w:bottom w:val="single" w:sz="3" w:space="0" w:color="auto"/>
              <w:right w:val="single" w:sz="3" w:space="0" w:color="auto"/>
            </w:tcBorders>
            <w:vAlign w:val="center"/>
          </w:tcPr>
          <w:p w14:paraId="45C104C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22.3</w:t>
            </w:r>
          </w:p>
        </w:tc>
      </w:tr>
      <w:tr w:rsidR="00FE36BE" w:rsidRPr="00FE36BE" w14:paraId="42813BE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500DC6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Nevis</w:t>
            </w:r>
          </w:p>
        </w:tc>
        <w:tc>
          <w:tcPr>
            <w:tcW w:w="0" w:type="auto"/>
            <w:tcBorders>
              <w:top w:val="single" w:sz="3" w:space="0" w:color="auto"/>
              <w:left w:val="single" w:sz="3" w:space="0" w:color="auto"/>
              <w:bottom w:val="single" w:sz="3" w:space="0" w:color="auto"/>
              <w:right w:val="single" w:sz="3" w:space="0" w:color="auto"/>
            </w:tcBorders>
            <w:vAlign w:val="center"/>
          </w:tcPr>
          <w:p w14:paraId="3D13FA9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21.4</w:t>
            </w:r>
          </w:p>
        </w:tc>
      </w:tr>
      <w:tr w:rsidR="00FE36BE" w:rsidRPr="00FE36BE" w14:paraId="528E9DBB"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2E4374D" w14:textId="77777777" w:rsidR="00FE36BE" w:rsidRPr="00FE36BE" w:rsidRDefault="00FE36BE" w:rsidP="00D348AD">
            <w:pPr>
              <w:pStyle w:val="Para06"/>
              <w:rPr>
                <w:rFonts w:ascii="Candara" w:hAnsi="Candara"/>
                <w:sz w:val="18"/>
                <w:szCs w:val="18"/>
              </w:rPr>
            </w:pPr>
            <w:r w:rsidRPr="00FE36BE">
              <w:rPr>
                <w:rFonts w:ascii="Candara" w:hAnsi="Candara"/>
                <w:sz w:val="18"/>
                <w:szCs w:val="18"/>
              </w:rPr>
              <w:t>Montserrat</w:t>
            </w:r>
          </w:p>
        </w:tc>
        <w:tc>
          <w:tcPr>
            <w:tcW w:w="0" w:type="auto"/>
            <w:tcBorders>
              <w:top w:val="single" w:sz="3" w:space="0" w:color="auto"/>
              <w:left w:val="single" w:sz="3" w:space="0" w:color="auto"/>
              <w:bottom w:val="single" w:sz="3" w:space="0" w:color="auto"/>
              <w:right w:val="single" w:sz="3" w:space="0" w:color="auto"/>
            </w:tcBorders>
            <w:vAlign w:val="center"/>
          </w:tcPr>
          <w:p w14:paraId="382A872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20.0</w:t>
            </w:r>
          </w:p>
        </w:tc>
      </w:tr>
      <w:tr w:rsidR="00FE36BE" w:rsidRPr="00FE36BE" w14:paraId="3A62533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445F73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Kitts</w:t>
            </w:r>
          </w:p>
        </w:tc>
        <w:tc>
          <w:tcPr>
            <w:tcW w:w="0" w:type="auto"/>
            <w:tcBorders>
              <w:top w:val="single" w:sz="3" w:space="0" w:color="auto"/>
              <w:left w:val="single" w:sz="3" w:space="0" w:color="auto"/>
              <w:bottom w:val="single" w:sz="3" w:space="0" w:color="auto"/>
              <w:right w:val="single" w:sz="3" w:space="0" w:color="auto"/>
            </w:tcBorders>
            <w:vAlign w:val="center"/>
          </w:tcPr>
          <w:p w14:paraId="4B2A8CA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19.0</w:t>
            </w:r>
          </w:p>
        </w:tc>
      </w:tr>
      <w:tr w:rsidR="00FE36BE" w:rsidRPr="00FE36BE" w14:paraId="7AB24D4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91FEE9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Antigua</w:t>
            </w:r>
          </w:p>
        </w:tc>
        <w:tc>
          <w:tcPr>
            <w:tcW w:w="0" w:type="auto"/>
            <w:tcBorders>
              <w:top w:val="single" w:sz="3" w:space="0" w:color="auto"/>
              <w:left w:val="single" w:sz="3" w:space="0" w:color="auto"/>
              <w:bottom w:val="single" w:sz="3" w:space="0" w:color="auto"/>
              <w:right w:val="single" w:sz="3" w:space="0" w:color="auto"/>
            </w:tcBorders>
            <w:vAlign w:val="center"/>
          </w:tcPr>
          <w:p w14:paraId="0911609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17.8</w:t>
            </w:r>
          </w:p>
        </w:tc>
      </w:tr>
      <w:tr w:rsidR="00FE36BE" w:rsidRPr="00FE36BE" w14:paraId="1F4E37A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54A816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Virgin Islands</w:t>
            </w:r>
          </w:p>
        </w:tc>
        <w:tc>
          <w:tcPr>
            <w:tcW w:w="0" w:type="auto"/>
            <w:tcBorders>
              <w:top w:val="single" w:sz="3" w:space="0" w:color="auto"/>
              <w:left w:val="single" w:sz="3" w:space="0" w:color="auto"/>
              <w:bottom w:val="single" w:sz="3" w:space="0" w:color="auto"/>
              <w:right w:val="single" w:sz="3" w:space="0" w:color="auto"/>
            </w:tcBorders>
            <w:vAlign w:val="center"/>
          </w:tcPr>
          <w:p w14:paraId="3652BDF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16.3</w:t>
            </w:r>
          </w:p>
        </w:tc>
      </w:tr>
      <w:tr w:rsidR="00FE36BE" w:rsidRPr="00FE36BE" w14:paraId="7D4806E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6BA88E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Bahamas</w:t>
            </w:r>
          </w:p>
        </w:tc>
        <w:tc>
          <w:tcPr>
            <w:tcW w:w="0" w:type="auto"/>
            <w:tcBorders>
              <w:top w:val="single" w:sz="3" w:space="0" w:color="auto"/>
              <w:left w:val="single" w:sz="3" w:space="0" w:color="auto"/>
              <w:bottom w:val="single" w:sz="3" w:space="0" w:color="auto"/>
              <w:right w:val="single" w:sz="3" w:space="0" w:color="auto"/>
            </w:tcBorders>
            <w:vAlign w:val="center"/>
          </w:tcPr>
          <w:p w14:paraId="0D2270A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15.4</w:t>
            </w:r>
          </w:p>
        </w:tc>
      </w:tr>
    </w:tbl>
    <w:p w14:paraId="4F3F0A57" w14:textId="77777777" w:rsidR="00FE36BE" w:rsidRPr="00FE36BE" w:rsidRDefault="00FE36BE" w:rsidP="00FE36BE">
      <w:pPr>
        <w:pStyle w:val="Para62"/>
        <w:rPr>
          <w:rFonts w:ascii="Candara" w:hAnsi="Candara"/>
          <w:sz w:val="18"/>
          <w:szCs w:val="18"/>
        </w:rPr>
      </w:pPr>
      <w:bookmarkStart w:id="75" w:name="Anchor_3178"/>
      <w:bookmarkStart w:id="76" w:name="Anchor_2854"/>
      <w:bookmarkStart w:id="77" w:name="Anchor_2850"/>
      <w:bookmarkStart w:id="78" w:name="Anchor_2509"/>
      <w:bookmarkStart w:id="79" w:name="Anchor_2420"/>
      <w:bookmarkStart w:id="80" w:name="Anchor_1644"/>
      <w:bookmarkStart w:id="81" w:name="Anchor_1603"/>
      <w:bookmarkStart w:id="82" w:name="Anchor_1567"/>
      <w:bookmarkStart w:id="83" w:name="Anchor_1459"/>
      <w:bookmarkStart w:id="84" w:name="Anchor_1445"/>
      <w:bookmarkStart w:id="85" w:name="Anchor_1441"/>
      <w:bookmarkStart w:id="86" w:name="Anchor_1416"/>
      <w:bookmarkStart w:id="87" w:name="Anchor_1349"/>
      <w:bookmarkStart w:id="88" w:name="Anchor_919"/>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FE36BE">
        <w:rPr>
          <w:rStyle w:val="00Text"/>
          <w:rFonts w:ascii="Candara" w:hAnsi="Candara"/>
          <w:sz w:val="18"/>
          <w:szCs w:val="18"/>
        </w:rPr>
        <w:t>Source:</w:t>
      </w:r>
      <w:r w:rsidRPr="00FE36BE">
        <w:rPr>
          <w:rFonts w:ascii="Candara" w:hAnsi="Candara"/>
          <w:sz w:val="18"/>
          <w:szCs w:val="18"/>
        </w:rPr>
        <w:t xml:space="preserve"> B.W. Higman, </w:t>
      </w:r>
      <w:r w:rsidRPr="00FE36BE">
        <w:rPr>
          <w:rStyle w:val="00Text"/>
          <w:rFonts w:ascii="Candara" w:hAnsi="Candara"/>
          <w:sz w:val="18"/>
          <w:szCs w:val="18"/>
        </w:rPr>
        <w:t>Slave Populations of the British Caribbean, 1807–1834</w:t>
      </w:r>
      <w:r w:rsidRPr="00FE36BE">
        <w:rPr>
          <w:rFonts w:ascii="Candara" w:hAnsi="Candara"/>
          <w:sz w:val="18"/>
          <w:szCs w:val="18"/>
        </w:rPr>
        <w:t xml:space="preserve"> (Baltimore: Johns Hopkins University Press, 1984), 79.</w:t>
      </w:r>
    </w:p>
    <w:p w14:paraId="407C8DD6" w14:textId="77777777" w:rsidR="00FE36BE" w:rsidRPr="00FE36BE" w:rsidRDefault="00FE36BE" w:rsidP="00FE36BE">
      <w:pPr>
        <w:pStyle w:val="Para01"/>
        <w:rPr>
          <w:rFonts w:ascii="Candara" w:hAnsi="Candara"/>
          <w:sz w:val="22"/>
          <w:szCs w:val="22"/>
        </w:rPr>
      </w:pPr>
      <w:r w:rsidRPr="00FE36BE">
        <w:rPr>
          <w:rFonts w:ascii="Candara" w:hAnsi="Candara"/>
          <w:sz w:val="22"/>
          <w:szCs w:val="22"/>
        </w:rPr>
        <w:lastRenderedPageBreak/>
        <w:t>The actuarial entry of babies and children into slave owners’ computations for reparations was an indicator of the hard-nosed business approach adapted in relation to their property rights in humans (table 11.4). It also indicated the moral degradation inherent in the slave system, which was backed by the British government.</w:t>
      </w:r>
    </w:p>
    <w:p w14:paraId="055A299B" w14:textId="77777777" w:rsidR="00FE36BE" w:rsidRPr="00FE36BE" w:rsidRDefault="00FE36BE" w:rsidP="00FE36BE">
      <w:pPr>
        <w:pStyle w:val="Para30"/>
        <w:rPr>
          <w:rFonts w:ascii="Candara" w:hAnsi="Candara"/>
          <w:sz w:val="18"/>
          <w:szCs w:val="18"/>
        </w:rPr>
      </w:pPr>
      <w:bookmarkStart w:id="89" w:name="Table_11_4"/>
      <w:bookmarkEnd w:id="89"/>
      <w:r w:rsidRPr="00FE36BE">
        <w:rPr>
          <w:rStyle w:val="00Text"/>
          <w:rFonts w:ascii="Candara" w:hAnsi="Candara"/>
          <w:sz w:val="18"/>
          <w:szCs w:val="18"/>
        </w:rPr>
        <w:t>Table 11.4.</w:t>
      </w:r>
      <w:r w:rsidRPr="00FE36BE">
        <w:rPr>
          <w:rFonts w:ascii="Candara" w:hAnsi="Candara"/>
          <w:sz w:val="18"/>
          <w:szCs w:val="18"/>
        </w:rPr>
        <w:t xml:space="preserve"> Average Value of Enslaved West Indian Children</w:t>
      </w:r>
    </w:p>
    <w:tbl>
      <w:tblPr>
        <w:tblW w:w="0" w:type="auto"/>
        <w:tblInd w:w="10" w:type="dxa"/>
        <w:tblCellMar>
          <w:left w:w="10" w:type="dxa"/>
          <w:right w:w="10" w:type="dxa"/>
        </w:tblCellMar>
        <w:tblLook w:val="04A0" w:firstRow="1" w:lastRow="0" w:firstColumn="1" w:lastColumn="0" w:noHBand="0" w:noVBand="1"/>
      </w:tblPr>
      <w:tblGrid>
        <w:gridCol w:w="1283"/>
        <w:gridCol w:w="1599"/>
      </w:tblGrid>
      <w:tr w:rsidR="00FE36BE" w:rsidRPr="00FE36BE" w14:paraId="5D4C5818"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EFAD122" w14:textId="77777777" w:rsidR="00FE36BE" w:rsidRPr="00FE36BE" w:rsidRDefault="00FE36BE" w:rsidP="00D348AD">
            <w:pPr>
              <w:pStyle w:val="Para36"/>
              <w:rPr>
                <w:rFonts w:ascii="Candara" w:hAnsi="Candara"/>
                <w:sz w:val="18"/>
                <w:szCs w:val="18"/>
              </w:rPr>
            </w:pPr>
            <w:r w:rsidRPr="00FE36BE">
              <w:rPr>
                <w:rFonts w:ascii="Candara" w:hAnsi="Candara"/>
                <w:sz w:val="18"/>
                <w:szCs w:val="18"/>
              </w:rPr>
              <w:t>Colony</w:t>
            </w:r>
          </w:p>
        </w:tc>
        <w:tc>
          <w:tcPr>
            <w:tcW w:w="0" w:type="auto"/>
            <w:tcBorders>
              <w:top w:val="single" w:sz="3" w:space="0" w:color="auto"/>
              <w:left w:val="single" w:sz="3" w:space="0" w:color="auto"/>
              <w:bottom w:val="single" w:sz="3" w:space="0" w:color="auto"/>
              <w:right w:val="single" w:sz="3" w:space="0" w:color="auto"/>
            </w:tcBorders>
            <w:vAlign w:val="center"/>
          </w:tcPr>
          <w:p w14:paraId="2735FD8A" w14:textId="77777777" w:rsidR="00FE36BE" w:rsidRPr="00FE36BE" w:rsidRDefault="00FE36BE" w:rsidP="00D348AD">
            <w:pPr>
              <w:pStyle w:val="Para36"/>
              <w:rPr>
                <w:rFonts w:ascii="Candara" w:hAnsi="Candara"/>
                <w:sz w:val="18"/>
                <w:szCs w:val="18"/>
              </w:rPr>
            </w:pPr>
            <w:r w:rsidRPr="00FE36BE">
              <w:rPr>
                <w:rFonts w:ascii="Candara" w:hAnsi="Candara"/>
                <w:sz w:val="18"/>
                <w:szCs w:val="18"/>
              </w:rPr>
              <w:t>£</w:t>
            </w:r>
          </w:p>
        </w:tc>
      </w:tr>
      <w:tr w:rsidR="00FE36BE" w:rsidRPr="00FE36BE" w14:paraId="6330F52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4DC7D10" w14:textId="77777777" w:rsidR="00FE36BE" w:rsidRPr="00FE36BE" w:rsidRDefault="00FE36BE" w:rsidP="00D348AD">
            <w:pPr>
              <w:pStyle w:val="Para08"/>
              <w:rPr>
                <w:rFonts w:ascii="Candara" w:hAnsi="Candara"/>
                <w:sz w:val="18"/>
                <w:szCs w:val="18"/>
              </w:rPr>
            </w:pPr>
            <w:r w:rsidRPr="00FE36BE">
              <w:rPr>
                <w:rFonts w:ascii="Candara" w:hAnsi="Candara"/>
                <w:sz w:val="18"/>
                <w:szCs w:val="18"/>
              </w:rPr>
              <w:t>Trinidad</w:t>
            </w:r>
          </w:p>
        </w:tc>
        <w:tc>
          <w:tcPr>
            <w:tcW w:w="0" w:type="auto"/>
            <w:tcBorders>
              <w:top w:val="single" w:sz="3" w:space="0" w:color="auto"/>
              <w:left w:val="single" w:sz="3" w:space="0" w:color="auto"/>
              <w:bottom w:val="single" w:sz="3" w:space="0" w:color="auto"/>
              <w:right w:val="single" w:sz="3" w:space="0" w:color="auto"/>
            </w:tcBorders>
            <w:vAlign w:val="center"/>
          </w:tcPr>
          <w:p w14:paraId="29B6C1AE" w14:textId="77777777" w:rsidR="00FE36BE" w:rsidRPr="00FE36BE" w:rsidRDefault="00FE36BE" w:rsidP="00D348AD">
            <w:pPr>
              <w:pStyle w:val="Para08"/>
              <w:rPr>
                <w:rFonts w:ascii="Candara" w:hAnsi="Candara"/>
                <w:sz w:val="18"/>
                <w:szCs w:val="18"/>
              </w:rPr>
            </w:pPr>
            <w:r w:rsidRPr="00FE36BE">
              <w:rPr>
                <w:rFonts w:ascii="Candara" w:hAnsi="Candara"/>
                <w:sz w:val="18"/>
                <w:szCs w:val="18"/>
              </w:rPr>
              <w:t>22.2 [£15,700 in 2010]</w:t>
            </w:r>
          </w:p>
        </w:tc>
      </w:tr>
      <w:tr w:rsidR="00FE36BE" w:rsidRPr="00FE36BE" w14:paraId="62882D48"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8396A79" w14:textId="77777777" w:rsidR="00FE36BE" w:rsidRPr="00FE36BE" w:rsidRDefault="00FE36BE" w:rsidP="00D348AD">
            <w:pPr>
              <w:pStyle w:val="Para08"/>
              <w:rPr>
                <w:rFonts w:ascii="Candara" w:hAnsi="Candara"/>
                <w:sz w:val="18"/>
                <w:szCs w:val="18"/>
              </w:rPr>
            </w:pPr>
            <w:r w:rsidRPr="00FE36BE">
              <w:rPr>
                <w:rFonts w:ascii="Candara" w:hAnsi="Candara"/>
                <w:sz w:val="18"/>
                <w:szCs w:val="18"/>
              </w:rPr>
              <w:t>British Honduras</w:t>
            </w:r>
          </w:p>
        </w:tc>
        <w:tc>
          <w:tcPr>
            <w:tcW w:w="0" w:type="auto"/>
            <w:tcBorders>
              <w:top w:val="single" w:sz="3" w:space="0" w:color="auto"/>
              <w:left w:val="single" w:sz="3" w:space="0" w:color="auto"/>
              <w:bottom w:val="single" w:sz="3" w:space="0" w:color="auto"/>
              <w:right w:val="single" w:sz="3" w:space="0" w:color="auto"/>
            </w:tcBorders>
            <w:vAlign w:val="center"/>
          </w:tcPr>
          <w:p w14:paraId="7DB6A295" w14:textId="77777777" w:rsidR="00FE36BE" w:rsidRPr="00FE36BE" w:rsidRDefault="00FE36BE" w:rsidP="00D348AD">
            <w:pPr>
              <w:pStyle w:val="Para08"/>
              <w:rPr>
                <w:rFonts w:ascii="Candara" w:hAnsi="Candara"/>
                <w:sz w:val="18"/>
                <w:szCs w:val="18"/>
              </w:rPr>
            </w:pPr>
            <w:r w:rsidRPr="00FE36BE">
              <w:rPr>
                <w:rFonts w:ascii="Candara" w:hAnsi="Candara"/>
                <w:sz w:val="18"/>
                <w:szCs w:val="18"/>
              </w:rPr>
              <w:t>21.6</w:t>
            </w:r>
          </w:p>
        </w:tc>
      </w:tr>
      <w:tr w:rsidR="00FE36BE" w:rsidRPr="00FE36BE" w14:paraId="1331925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D3E067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British Guiana</w:t>
            </w:r>
          </w:p>
        </w:tc>
        <w:tc>
          <w:tcPr>
            <w:tcW w:w="0" w:type="auto"/>
            <w:tcBorders>
              <w:top w:val="single" w:sz="3" w:space="0" w:color="auto"/>
              <w:left w:val="single" w:sz="3" w:space="0" w:color="auto"/>
              <w:bottom w:val="single" w:sz="3" w:space="0" w:color="auto"/>
              <w:right w:val="single" w:sz="3" w:space="0" w:color="auto"/>
            </w:tcBorders>
            <w:vAlign w:val="center"/>
          </w:tcPr>
          <w:p w14:paraId="6F89C40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19.0</w:t>
            </w:r>
          </w:p>
        </w:tc>
      </w:tr>
      <w:tr w:rsidR="00FE36BE" w:rsidRPr="00FE36BE" w14:paraId="3A77C95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FC6DE3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Vincent</w:t>
            </w:r>
          </w:p>
        </w:tc>
        <w:tc>
          <w:tcPr>
            <w:tcW w:w="0" w:type="auto"/>
            <w:tcBorders>
              <w:top w:val="single" w:sz="3" w:space="0" w:color="auto"/>
              <w:left w:val="single" w:sz="3" w:space="0" w:color="auto"/>
              <w:bottom w:val="single" w:sz="3" w:space="0" w:color="auto"/>
              <w:right w:val="single" w:sz="3" w:space="0" w:color="auto"/>
            </w:tcBorders>
            <w:vAlign w:val="center"/>
          </w:tcPr>
          <w:p w14:paraId="3B47543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10.9</w:t>
            </w:r>
          </w:p>
        </w:tc>
      </w:tr>
      <w:tr w:rsidR="00FE36BE" w:rsidRPr="00FE36BE" w14:paraId="41DD06A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073908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Grenada</w:t>
            </w:r>
          </w:p>
        </w:tc>
        <w:tc>
          <w:tcPr>
            <w:tcW w:w="0" w:type="auto"/>
            <w:tcBorders>
              <w:top w:val="single" w:sz="3" w:space="0" w:color="auto"/>
              <w:left w:val="single" w:sz="3" w:space="0" w:color="auto"/>
              <w:bottom w:val="single" w:sz="3" w:space="0" w:color="auto"/>
              <w:right w:val="single" w:sz="3" w:space="0" w:color="auto"/>
            </w:tcBorders>
            <w:vAlign w:val="center"/>
          </w:tcPr>
          <w:p w14:paraId="0C7D66C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10.3</w:t>
            </w:r>
          </w:p>
        </w:tc>
      </w:tr>
      <w:tr w:rsidR="00FE36BE" w:rsidRPr="00FE36BE" w14:paraId="3A494D4A"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75457F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Lucia</w:t>
            </w:r>
          </w:p>
        </w:tc>
        <w:tc>
          <w:tcPr>
            <w:tcW w:w="0" w:type="auto"/>
            <w:tcBorders>
              <w:top w:val="single" w:sz="3" w:space="0" w:color="auto"/>
              <w:left w:val="single" w:sz="3" w:space="0" w:color="auto"/>
              <w:bottom w:val="single" w:sz="3" w:space="0" w:color="auto"/>
              <w:right w:val="single" w:sz="3" w:space="0" w:color="auto"/>
            </w:tcBorders>
            <w:vAlign w:val="center"/>
          </w:tcPr>
          <w:p w14:paraId="59C01DE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8.4</w:t>
            </w:r>
          </w:p>
        </w:tc>
      </w:tr>
      <w:tr w:rsidR="00FE36BE" w:rsidRPr="00FE36BE" w14:paraId="1F09334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926E63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Jamaica</w:t>
            </w:r>
          </w:p>
        </w:tc>
        <w:tc>
          <w:tcPr>
            <w:tcW w:w="0" w:type="auto"/>
            <w:tcBorders>
              <w:top w:val="single" w:sz="3" w:space="0" w:color="auto"/>
              <w:left w:val="single" w:sz="3" w:space="0" w:color="auto"/>
              <w:bottom w:val="single" w:sz="3" w:space="0" w:color="auto"/>
              <w:right w:val="single" w:sz="3" w:space="0" w:color="auto"/>
            </w:tcBorders>
            <w:vAlign w:val="center"/>
          </w:tcPr>
          <w:p w14:paraId="545A15F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7.7</w:t>
            </w:r>
          </w:p>
        </w:tc>
      </w:tr>
      <w:tr w:rsidR="00FE36BE" w:rsidRPr="00FE36BE" w14:paraId="13FDE8A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F009AA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Kitts</w:t>
            </w:r>
          </w:p>
        </w:tc>
        <w:tc>
          <w:tcPr>
            <w:tcW w:w="0" w:type="auto"/>
            <w:tcBorders>
              <w:top w:val="single" w:sz="3" w:space="0" w:color="auto"/>
              <w:left w:val="single" w:sz="3" w:space="0" w:color="auto"/>
              <w:bottom w:val="single" w:sz="3" w:space="0" w:color="auto"/>
              <w:right w:val="single" w:sz="3" w:space="0" w:color="auto"/>
            </w:tcBorders>
            <w:vAlign w:val="center"/>
          </w:tcPr>
          <w:p w14:paraId="153B036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5.6</w:t>
            </w:r>
          </w:p>
        </w:tc>
      </w:tr>
      <w:tr w:rsidR="00FE36BE" w:rsidRPr="00FE36BE" w14:paraId="53FAA94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ED3E40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Tobago</w:t>
            </w:r>
          </w:p>
        </w:tc>
        <w:tc>
          <w:tcPr>
            <w:tcW w:w="0" w:type="auto"/>
            <w:tcBorders>
              <w:top w:val="single" w:sz="3" w:space="0" w:color="auto"/>
              <w:left w:val="single" w:sz="3" w:space="0" w:color="auto"/>
              <w:bottom w:val="single" w:sz="3" w:space="0" w:color="auto"/>
              <w:right w:val="single" w:sz="3" w:space="0" w:color="auto"/>
            </w:tcBorders>
            <w:vAlign w:val="center"/>
          </w:tcPr>
          <w:p w14:paraId="71E0B13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4.8</w:t>
            </w:r>
          </w:p>
        </w:tc>
      </w:tr>
      <w:tr w:rsidR="00FE36BE" w:rsidRPr="00FE36BE" w14:paraId="12CC182E"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23CC1A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Dominica</w:t>
            </w:r>
          </w:p>
        </w:tc>
        <w:tc>
          <w:tcPr>
            <w:tcW w:w="0" w:type="auto"/>
            <w:tcBorders>
              <w:top w:val="single" w:sz="3" w:space="0" w:color="auto"/>
              <w:left w:val="single" w:sz="3" w:space="0" w:color="auto"/>
              <w:bottom w:val="single" w:sz="3" w:space="0" w:color="auto"/>
              <w:right w:val="single" w:sz="3" w:space="0" w:color="auto"/>
            </w:tcBorders>
            <w:vAlign w:val="center"/>
          </w:tcPr>
          <w:p w14:paraId="7FDE6B6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4.6</w:t>
            </w:r>
          </w:p>
        </w:tc>
      </w:tr>
      <w:tr w:rsidR="00FE36BE" w:rsidRPr="00FE36BE" w14:paraId="60C8280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AC85F9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Bahamas</w:t>
            </w:r>
          </w:p>
        </w:tc>
        <w:tc>
          <w:tcPr>
            <w:tcW w:w="0" w:type="auto"/>
            <w:tcBorders>
              <w:top w:val="single" w:sz="3" w:space="0" w:color="auto"/>
              <w:left w:val="single" w:sz="3" w:space="0" w:color="auto"/>
              <w:bottom w:val="single" w:sz="3" w:space="0" w:color="auto"/>
              <w:right w:val="single" w:sz="3" w:space="0" w:color="auto"/>
            </w:tcBorders>
            <w:vAlign w:val="center"/>
          </w:tcPr>
          <w:p w14:paraId="3409387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4.4</w:t>
            </w:r>
          </w:p>
        </w:tc>
      </w:tr>
      <w:tr w:rsidR="00FE36BE" w:rsidRPr="00FE36BE" w14:paraId="569B483E"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9B4D64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Nevis</w:t>
            </w:r>
          </w:p>
        </w:tc>
        <w:tc>
          <w:tcPr>
            <w:tcW w:w="0" w:type="auto"/>
            <w:tcBorders>
              <w:top w:val="single" w:sz="3" w:space="0" w:color="auto"/>
              <w:left w:val="single" w:sz="3" w:space="0" w:color="auto"/>
              <w:bottom w:val="single" w:sz="3" w:space="0" w:color="auto"/>
              <w:right w:val="single" w:sz="3" w:space="0" w:color="auto"/>
            </w:tcBorders>
            <w:vAlign w:val="center"/>
          </w:tcPr>
          <w:p w14:paraId="298E63E6" w14:textId="77777777" w:rsidR="00FE36BE" w:rsidRPr="00FE36BE" w:rsidRDefault="00FE36BE" w:rsidP="00D348AD">
            <w:pPr>
              <w:pStyle w:val="Para06"/>
              <w:rPr>
                <w:rFonts w:ascii="Candara" w:hAnsi="Candara"/>
                <w:sz w:val="18"/>
                <w:szCs w:val="18"/>
              </w:rPr>
            </w:pPr>
            <w:r w:rsidRPr="00FE36BE">
              <w:rPr>
                <w:rFonts w:ascii="Candara" w:hAnsi="Candara"/>
                <w:sz w:val="18"/>
                <w:szCs w:val="18"/>
              </w:rPr>
              <w:t>4.0</w:t>
            </w:r>
          </w:p>
        </w:tc>
      </w:tr>
      <w:tr w:rsidR="00FE36BE" w:rsidRPr="00FE36BE" w14:paraId="386AED2B"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E2F5CA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Barbados</w:t>
            </w:r>
          </w:p>
        </w:tc>
        <w:tc>
          <w:tcPr>
            <w:tcW w:w="0" w:type="auto"/>
            <w:tcBorders>
              <w:top w:val="single" w:sz="3" w:space="0" w:color="auto"/>
              <w:left w:val="single" w:sz="3" w:space="0" w:color="auto"/>
              <w:bottom w:val="single" w:sz="3" w:space="0" w:color="auto"/>
              <w:right w:val="single" w:sz="3" w:space="0" w:color="auto"/>
            </w:tcBorders>
            <w:vAlign w:val="center"/>
          </w:tcPr>
          <w:p w14:paraId="1A01216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3.9</w:t>
            </w:r>
          </w:p>
        </w:tc>
      </w:tr>
      <w:tr w:rsidR="00FE36BE" w:rsidRPr="00FE36BE" w14:paraId="6E1EA9C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9195D6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Virgin Islands</w:t>
            </w:r>
          </w:p>
        </w:tc>
        <w:tc>
          <w:tcPr>
            <w:tcW w:w="0" w:type="auto"/>
            <w:tcBorders>
              <w:top w:val="single" w:sz="3" w:space="0" w:color="auto"/>
              <w:left w:val="single" w:sz="3" w:space="0" w:color="auto"/>
              <w:bottom w:val="single" w:sz="3" w:space="0" w:color="auto"/>
              <w:right w:val="single" w:sz="3" w:space="0" w:color="auto"/>
            </w:tcBorders>
            <w:vAlign w:val="center"/>
          </w:tcPr>
          <w:p w14:paraId="5D21A0B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3.3</w:t>
            </w:r>
          </w:p>
        </w:tc>
      </w:tr>
      <w:tr w:rsidR="00FE36BE" w:rsidRPr="00FE36BE" w14:paraId="4851CCC8"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964EED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Montserrat</w:t>
            </w:r>
          </w:p>
        </w:tc>
        <w:tc>
          <w:tcPr>
            <w:tcW w:w="0" w:type="auto"/>
            <w:tcBorders>
              <w:top w:val="single" w:sz="3" w:space="0" w:color="auto"/>
              <w:left w:val="single" w:sz="3" w:space="0" w:color="auto"/>
              <w:bottom w:val="single" w:sz="3" w:space="0" w:color="auto"/>
              <w:right w:val="single" w:sz="3" w:space="0" w:color="auto"/>
            </w:tcBorders>
            <w:vAlign w:val="center"/>
          </w:tcPr>
          <w:p w14:paraId="202BB88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2.5</w:t>
            </w:r>
          </w:p>
        </w:tc>
      </w:tr>
      <w:tr w:rsidR="00FE36BE" w:rsidRPr="00FE36BE" w14:paraId="55F1D06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529FD0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Antigua</w:t>
            </w:r>
          </w:p>
        </w:tc>
        <w:tc>
          <w:tcPr>
            <w:tcW w:w="0" w:type="auto"/>
            <w:tcBorders>
              <w:top w:val="single" w:sz="3" w:space="0" w:color="auto"/>
              <w:left w:val="single" w:sz="3" w:space="0" w:color="auto"/>
              <w:bottom w:val="single" w:sz="3" w:space="0" w:color="auto"/>
              <w:right w:val="single" w:sz="3" w:space="0" w:color="auto"/>
            </w:tcBorders>
            <w:vAlign w:val="center"/>
          </w:tcPr>
          <w:p w14:paraId="36DCF6B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2.4</w:t>
            </w:r>
          </w:p>
        </w:tc>
      </w:tr>
    </w:tbl>
    <w:p w14:paraId="38D3E36B" w14:textId="77777777" w:rsidR="00FE36BE" w:rsidRPr="00FE36BE" w:rsidRDefault="00FE36BE" w:rsidP="00FE36BE">
      <w:pPr>
        <w:pStyle w:val="Para38"/>
        <w:rPr>
          <w:rFonts w:ascii="Candara" w:hAnsi="Candara"/>
          <w:sz w:val="18"/>
          <w:szCs w:val="18"/>
        </w:rPr>
      </w:pPr>
      <w:bookmarkStart w:id="90" w:name="Anchor_3179"/>
      <w:bookmarkStart w:id="91" w:name="Anchor_1460"/>
      <w:bookmarkStart w:id="92" w:name="Anchor_1442"/>
      <w:bookmarkEnd w:id="90"/>
      <w:bookmarkEnd w:id="91"/>
      <w:bookmarkEnd w:id="92"/>
      <w:r w:rsidRPr="00FE36BE">
        <w:rPr>
          <w:rStyle w:val="00Text"/>
          <w:rFonts w:ascii="Candara" w:hAnsi="Candara"/>
          <w:sz w:val="18"/>
          <w:szCs w:val="18"/>
        </w:rPr>
        <w:t>Source:</w:t>
      </w:r>
      <w:r w:rsidRPr="00FE36BE">
        <w:rPr>
          <w:rFonts w:ascii="Candara" w:hAnsi="Candara"/>
          <w:sz w:val="18"/>
          <w:szCs w:val="18"/>
        </w:rPr>
        <w:t xml:space="preserve"> B.W. Higman, </w:t>
      </w:r>
      <w:r w:rsidRPr="00FE36BE">
        <w:rPr>
          <w:rStyle w:val="00Text"/>
          <w:rFonts w:ascii="Candara" w:hAnsi="Candara"/>
          <w:sz w:val="18"/>
          <w:szCs w:val="18"/>
        </w:rPr>
        <w:t>Slave Populations of the British Caribbean, 1807–1834</w:t>
      </w:r>
      <w:r w:rsidRPr="00FE36BE">
        <w:rPr>
          <w:rFonts w:ascii="Candara" w:hAnsi="Candara"/>
          <w:sz w:val="18"/>
          <w:szCs w:val="18"/>
        </w:rPr>
        <w:t xml:space="preserve"> (Baltimore: Johns Hopkins University Press, 1984), 79.</w:t>
      </w:r>
    </w:p>
    <w:p w14:paraId="33C852F8" w14:textId="77777777" w:rsidR="00FE36BE" w:rsidRPr="00FE36BE" w:rsidRDefault="00FE36BE" w:rsidP="00FE36BE">
      <w:pPr>
        <w:pStyle w:val="Para01"/>
        <w:rPr>
          <w:rFonts w:ascii="Candara" w:hAnsi="Candara"/>
          <w:sz w:val="22"/>
          <w:szCs w:val="22"/>
        </w:rPr>
      </w:pPr>
      <w:r w:rsidRPr="00FE36BE">
        <w:rPr>
          <w:rFonts w:ascii="Candara" w:hAnsi="Candara"/>
          <w:sz w:val="22"/>
          <w:szCs w:val="22"/>
        </w:rPr>
        <w:t>Slavery, Draper noted, had “pervaded particular strata and localities of Britain by virtue of direct slave ownership or indirect financial dependence on the slave economy”. The avenues used to travel deep into the social heartland of British societies were annuities, marriage settlements and legacies.</w:t>
      </w:r>
      <w:bookmarkStart w:id="93" w:name="cue_242_317"/>
      <w:bookmarkEnd w:id="93"/>
      <w:r w:rsidRPr="00FE36BE">
        <w:rPr>
          <w:rFonts w:ascii="Candara" w:hAnsi="Candara"/>
          <w:sz w:val="22"/>
          <w:szCs w:val="22"/>
        </w:rPr>
        <w:fldChar w:fldCharType="begin"/>
      </w:r>
      <w:r w:rsidRPr="00FE36BE">
        <w:rPr>
          <w:rFonts w:ascii="Candara" w:hAnsi="Candara"/>
          <w:sz w:val="22"/>
          <w:szCs w:val="22"/>
        </w:rPr>
        <w:instrText xml:space="preserve"> HYPERLINK \l "note_242_317" \h </w:instrText>
      </w:r>
      <w:r w:rsidRPr="00FE36BE">
        <w:rPr>
          <w:rFonts w:ascii="Candara" w:hAnsi="Candara"/>
          <w:sz w:val="22"/>
          <w:szCs w:val="22"/>
        </w:rPr>
        <w:fldChar w:fldCharType="separate"/>
      </w:r>
      <w:r w:rsidRPr="00FE36BE">
        <w:rPr>
          <w:rStyle w:val="09Text"/>
          <w:rFonts w:ascii="Candara" w:hAnsi="Candara"/>
          <w:sz w:val="16"/>
          <w:szCs w:val="16"/>
        </w:rPr>
        <w:t>20</w:t>
      </w:r>
      <w:r w:rsidRPr="00FE36BE">
        <w:rPr>
          <w:rStyle w:val="09Text"/>
          <w:rFonts w:ascii="Candara" w:hAnsi="Candara"/>
          <w:sz w:val="16"/>
          <w:szCs w:val="16"/>
        </w:rPr>
        <w:fldChar w:fldCharType="end"/>
      </w:r>
      <w:r w:rsidRPr="00FE36BE">
        <w:rPr>
          <w:rFonts w:ascii="Candara" w:hAnsi="Candara"/>
          <w:sz w:val="22"/>
          <w:szCs w:val="22"/>
        </w:rPr>
        <w:t xml:space="preserve"> Enslaved men, women and children were counted, valued and discounted, and the British government began the process of disbursement. It was a seminal moment in the national history of Britain.</w:t>
      </w:r>
    </w:p>
    <w:p w14:paraId="2723B86E" w14:textId="77777777" w:rsidR="00FE36BE" w:rsidRPr="00FE36BE" w:rsidRDefault="00FE36BE" w:rsidP="00FE36BE">
      <w:pPr>
        <w:pStyle w:val="Para01"/>
        <w:rPr>
          <w:rFonts w:ascii="Candara" w:hAnsi="Candara"/>
          <w:sz w:val="22"/>
          <w:szCs w:val="22"/>
        </w:rPr>
      </w:pPr>
      <w:r w:rsidRPr="00FE36BE">
        <w:rPr>
          <w:rFonts w:ascii="Candara" w:hAnsi="Candara"/>
          <w:sz w:val="22"/>
          <w:szCs w:val="22"/>
        </w:rPr>
        <w:t>Draper’s research has enabled scholars to better understand the mood that dominated British political and economic life as inspired by cash for chattels. Persons who were hitherto ashamed to stand up as slave owners, but who relied on the slave-generated income, found courage in demanding compensation in cash. Those with a marginal claim on enslaved West Indians became aggressively litigious in asserting specific rights. Enslaved West Indians were the prized assets in British claims of poverty alleviation. The scramble to scrape up compensation cash turned friendships, partnerships and family ties into aggressive and at times litigious campaigns.</w:t>
      </w:r>
    </w:p>
    <w:p w14:paraId="2067209D" w14:textId="77777777" w:rsidR="00FE36BE" w:rsidRPr="00FE36BE" w:rsidRDefault="00FE36BE" w:rsidP="00FE36BE">
      <w:pPr>
        <w:pStyle w:val="Para01"/>
        <w:rPr>
          <w:rFonts w:ascii="Candara" w:hAnsi="Candara"/>
          <w:sz w:val="22"/>
          <w:szCs w:val="22"/>
        </w:rPr>
      </w:pPr>
      <w:r w:rsidRPr="00FE36BE">
        <w:rPr>
          <w:rFonts w:ascii="Candara" w:hAnsi="Candara"/>
          <w:sz w:val="22"/>
          <w:szCs w:val="22"/>
        </w:rPr>
        <w:t xml:space="preserve">The state of affairs over reparations money is described by Draper as a “feeding frenzy” which, he says, took over the behaviour of British society. In so doing, it revealed fully how deeply slavery was embedded in the national social and economic spine. It was a “frenzy that drew thousands of Britons into asserting their ownership of the enslaved”, Draper notes, “once the state attached specific and immediate monetary value to the claims of ownership”. Compensation records set out each claim and the related counterclaims over the property value of the enslaved. Contesting the claims were the rich and </w:t>
      </w:r>
      <w:bookmarkStart w:id="94" w:name="Anchor_3036"/>
      <w:bookmarkStart w:id="95" w:name="Anchor_2963"/>
      <w:bookmarkStart w:id="96" w:name="Anchor_2962"/>
      <w:bookmarkStart w:id="97" w:name="Anchor_2699"/>
      <w:bookmarkStart w:id="98" w:name="Anchor_2678"/>
      <w:bookmarkStart w:id="99" w:name="Anchor_2654"/>
      <w:bookmarkStart w:id="100" w:name="Anchor_2634"/>
      <w:bookmarkStart w:id="101" w:name="Anchor_2466"/>
      <w:bookmarkStart w:id="102" w:name="Anchor_2320"/>
      <w:bookmarkStart w:id="103" w:name="Anchor_2285"/>
      <w:bookmarkStart w:id="104" w:name="Anchor_2275"/>
      <w:bookmarkStart w:id="105" w:name="Anchor_2191"/>
      <w:bookmarkStart w:id="106" w:name="Anchor_1821"/>
      <w:bookmarkStart w:id="107" w:name="Anchor_1731"/>
      <w:bookmarkStart w:id="108" w:name="Anchor_1577"/>
      <w:bookmarkStart w:id="109" w:name="Anchor_1438"/>
      <w:bookmarkStart w:id="110" w:name="Anchor_1397"/>
      <w:bookmarkStart w:id="111" w:name="Anchor_1215"/>
      <w:bookmarkStart w:id="112" w:name="Anchor_1159"/>
      <w:bookmarkStart w:id="113" w:name="Anchor_1152"/>
      <w:bookmarkStart w:id="114" w:name="Anchor_1086"/>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sidRPr="00FE36BE">
        <w:rPr>
          <w:rFonts w:ascii="Candara" w:hAnsi="Candara"/>
          <w:sz w:val="22"/>
          <w:szCs w:val="22"/>
        </w:rPr>
        <w:t>the famous, the nobles and commoners. They went to great lengths to get their share and, in the process, the reach of slavery’s tentacles was revealed.</w:t>
      </w:r>
      <w:bookmarkStart w:id="115" w:name="cue_242_318"/>
      <w:bookmarkEnd w:id="115"/>
      <w:r w:rsidRPr="00FE36BE">
        <w:rPr>
          <w:rFonts w:ascii="Candara" w:hAnsi="Candara"/>
          <w:sz w:val="22"/>
          <w:szCs w:val="22"/>
        </w:rPr>
        <w:fldChar w:fldCharType="begin"/>
      </w:r>
      <w:r w:rsidRPr="00FE36BE">
        <w:rPr>
          <w:rFonts w:ascii="Candara" w:hAnsi="Candara"/>
          <w:sz w:val="22"/>
          <w:szCs w:val="22"/>
        </w:rPr>
        <w:instrText xml:space="preserve"> HYPERLINK \l "note_242_318" \h </w:instrText>
      </w:r>
      <w:r w:rsidRPr="00FE36BE">
        <w:rPr>
          <w:rFonts w:ascii="Candara" w:hAnsi="Candara"/>
          <w:sz w:val="22"/>
          <w:szCs w:val="22"/>
        </w:rPr>
        <w:fldChar w:fldCharType="separate"/>
      </w:r>
      <w:r w:rsidRPr="00FE36BE">
        <w:rPr>
          <w:rStyle w:val="09Text"/>
          <w:rFonts w:ascii="Candara" w:hAnsi="Candara"/>
          <w:sz w:val="16"/>
          <w:szCs w:val="16"/>
        </w:rPr>
        <w:t>21</w:t>
      </w:r>
      <w:r w:rsidRPr="00FE36BE">
        <w:rPr>
          <w:rStyle w:val="09Text"/>
          <w:rFonts w:ascii="Candara" w:hAnsi="Candara"/>
          <w:sz w:val="16"/>
          <w:szCs w:val="16"/>
        </w:rPr>
        <w:fldChar w:fldCharType="end"/>
      </w:r>
    </w:p>
    <w:p w14:paraId="2F5AF9E8" w14:textId="77777777" w:rsidR="00FE36BE" w:rsidRPr="00FE36BE" w:rsidRDefault="00FE36BE" w:rsidP="00FE36BE">
      <w:pPr>
        <w:pStyle w:val="Para01"/>
        <w:rPr>
          <w:rFonts w:ascii="Candara" w:hAnsi="Candara"/>
          <w:sz w:val="22"/>
          <w:szCs w:val="22"/>
        </w:rPr>
      </w:pPr>
      <w:r w:rsidRPr="00FE36BE">
        <w:rPr>
          <w:rFonts w:ascii="Candara" w:hAnsi="Candara"/>
          <w:sz w:val="22"/>
          <w:szCs w:val="22"/>
        </w:rPr>
        <w:lastRenderedPageBreak/>
        <w:t>That organized public opinion should support compensation for enslavers is therefore instructive. It indicates the depth of slave owning to British popular culture and identity. The extent of infection of the national imagination with racist anti-black sentiments was not always understood and accepted, even by the anti-slavery groups. But the persistent bombardment of the national consciousness with racist ideas and sentiment had its lasting effects. The emerging mass media, intellectual classes, political leaders, corporate elites and the judiciary were vehicles for race-based values that supported the idea of compensation for enslavers and not the enslaved.</w:t>
      </w:r>
    </w:p>
    <w:p w14:paraId="50320F13"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 logic of emancipation politics was to ensure that freed blacks remained, as far as possible, located on sugar plantations that would not change ownership. There would be no redistribution of income or economic enfranchisement of blacks. The social structure would remain as closely attached to the slave-based system as possible. The future imagined in Whitehall was one in which black subordination was guaranteed within colonialism. Without black hands, Caribbean lands were useless. Blacks were to be landless as the norm, even if adjustments were necessary in some places in order to secure labour.</w:t>
      </w:r>
    </w:p>
    <w:p w14:paraId="2B7924EB" w14:textId="77777777" w:rsidR="00FE36BE" w:rsidRPr="00FE36BE" w:rsidRDefault="00FE36BE" w:rsidP="00FE36BE">
      <w:pPr>
        <w:pStyle w:val="Para01"/>
        <w:rPr>
          <w:rFonts w:ascii="Candara" w:hAnsi="Candara"/>
          <w:sz w:val="22"/>
          <w:szCs w:val="22"/>
        </w:rPr>
      </w:pPr>
      <w:r w:rsidRPr="00FE36BE">
        <w:rPr>
          <w:rFonts w:ascii="Candara" w:hAnsi="Candara"/>
          <w:sz w:val="22"/>
          <w:szCs w:val="22"/>
        </w:rPr>
        <w:t>In giving effect to slave owners’ demand for reparations, the British legal and political system showed considerable flexibility and creativity. It is a feature of all reparations procedures that lawyers, once given the remit by politicians, have shown bureaucratic ingenuity. This was the case in 1834, just as it was with the Nuremburg war tribunals after the Second World War that set in train the prosecution of the German state and citizens for crimes against humanity. The British government was enterprising as it entered a new and innovative legislative league.</w:t>
      </w:r>
    </w:p>
    <w:p w14:paraId="618A1D1E" w14:textId="77777777" w:rsidR="00FE36BE" w:rsidRPr="00FE36BE" w:rsidRDefault="00FE36BE" w:rsidP="00FE36BE">
      <w:pPr>
        <w:pStyle w:val="Para01"/>
        <w:rPr>
          <w:rFonts w:ascii="Candara" w:hAnsi="Candara"/>
          <w:sz w:val="22"/>
          <w:szCs w:val="22"/>
        </w:rPr>
      </w:pPr>
      <w:r w:rsidRPr="00FE36BE">
        <w:rPr>
          <w:rFonts w:ascii="Candara" w:hAnsi="Candara"/>
          <w:sz w:val="22"/>
          <w:szCs w:val="22"/>
        </w:rPr>
        <w:t xml:space="preserve">The Abolition Act established the Compensation Commission. This body was chaired by a respected legal mind, Charles Pepys, who soon thereafter rose up the political ranks to become Lord Chancellor and the first Earl of Cottenham. Also given an opportunity to chair the commission was the charismatic politician John Carter, member of Parliament for the constituency of Portsmouth. The commission did not rely upon its membership for the critical data relevant to slave owners’ reparation. It employed professional staff to work through the complex accounting and financial issues. For example, Charles Willinck was given the job of making actuarial calculations on West </w:t>
      </w:r>
      <w:bookmarkStart w:id="116" w:name="Anchor_3165"/>
      <w:bookmarkStart w:id="117" w:name="Anchor_3049"/>
      <w:bookmarkStart w:id="118" w:name="Anchor_2926"/>
      <w:bookmarkStart w:id="119" w:name="Anchor_2655"/>
      <w:bookmarkStart w:id="120" w:name="Anchor_2515"/>
      <w:bookmarkStart w:id="121" w:name="Anchor_2473"/>
      <w:bookmarkStart w:id="122" w:name="Anchor_2215"/>
      <w:bookmarkStart w:id="123" w:name="Anchor_2189"/>
      <w:bookmarkStart w:id="124" w:name="Anchor_1870"/>
      <w:bookmarkStart w:id="125" w:name="Anchor_1809"/>
      <w:bookmarkStart w:id="126" w:name="Anchor_1800"/>
      <w:bookmarkStart w:id="127" w:name="Anchor_1697"/>
      <w:bookmarkStart w:id="128" w:name="Anchor_1570"/>
      <w:bookmarkStart w:id="129" w:name="Anchor_1555"/>
      <w:bookmarkStart w:id="130" w:name="Anchor_1539"/>
      <w:bookmarkStart w:id="131" w:name="Anchor_1512"/>
      <w:bookmarkStart w:id="132" w:name="Anchor_1483"/>
      <w:bookmarkStart w:id="133" w:name="Anchor_1457"/>
      <w:bookmarkStart w:id="134" w:name="Anchor_1439"/>
      <w:bookmarkStart w:id="135" w:name="Anchor_1298"/>
      <w:bookmarkStart w:id="136" w:name="Anchor_1290"/>
      <w:bookmarkStart w:id="137" w:name="Anchor_1158"/>
      <w:bookmarkStart w:id="138" w:name="Anchor_1087"/>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FE36BE">
        <w:rPr>
          <w:rFonts w:ascii="Candara" w:hAnsi="Candara"/>
          <w:sz w:val="22"/>
          <w:szCs w:val="22"/>
        </w:rPr>
        <w:t>Indian “slave values”. He was a senior official of University Life Assurance Office.</w:t>
      </w:r>
      <w:bookmarkStart w:id="139" w:name="cue_242_319"/>
      <w:bookmarkEnd w:id="139"/>
      <w:r w:rsidRPr="00FE36BE">
        <w:rPr>
          <w:rFonts w:ascii="Candara" w:hAnsi="Candara"/>
          <w:sz w:val="22"/>
          <w:szCs w:val="22"/>
        </w:rPr>
        <w:fldChar w:fldCharType="begin"/>
      </w:r>
      <w:r w:rsidRPr="00FE36BE">
        <w:rPr>
          <w:rFonts w:ascii="Candara" w:hAnsi="Candara"/>
          <w:sz w:val="22"/>
          <w:szCs w:val="22"/>
        </w:rPr>
        <w:instrText xml:space="preserve"> HYPERLINK \l "note_242_319" \h </w:instrText>
      </w:r>
      <w:r w:rsidRPr="00FE36BE">
        <w:rPr>
          <w:rFonts w:ascii="Candara" w:hAnsi="Candara"/>
          <w:sz w:val="22"/>
          <w:szCs w:val="22"/>
        </w:rPr>
        <w:fldChar w:fldCharType="separate"/>
      </w:r>
      <w:r w:rsidRPr="00FE36BE">
        <w:rPr>
          <w:rStyle w:val="09Text"/>
          <w:rFonts w:ascii="Candara" w:hAnsi="Candara"/>
          <w:sz w:val="16"/>
          <w:szCs w:val="16"/>
        </w:rPr>
        <w:t>22</w:t>
      </w:r>
      <w:r w:rsidRPr="00FE36BE">
        <w:rPr>
          <w:rStyle w:val="09Text"/>
          <w:rFonts w:ascii="Candara" w:hAnsi="Candara"/>
          <w:sz w:val="16"/>
          <w:szCs w:val="16"/>
        </w:rPr>
        <w:fldChar w:fldCharType="end"/>
      </w:r>
    </w:p>
    <w:p w14:paraId="0A8BE843"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 commission employed assistants who served as members of boards in each colony, charged with bringing to order the discrepancies in slave owners’ property evaluations. This was an impressive governance system for a major legal project. The commission handled “over 45,000 individual claims from owners of 800,000 enslaved”, an undertaking that indicated the resolve of the British government on the matter of slave owners’ reparations. Individual West Indian slave owners, mostly British-based, received the bulk of the bounty (table 11.5). The remainder was paid to slave owners whose chattel resided in Britain, and slave owners in other parts of the empire.</w:t>
      </w:r>
    </w:p>
    <w:p w14:paraId="3459F615" w14:textId="77777777" w:rsidR="00FE36BE" w:rsidRPr="00FE36BE" w:rsidRDefault="00FE36BE" w:rsidP="00FE36BE">
      <w:pPr>
        <w:pStyle w:val="Para53"/>
        <w:rPr>
          <w:rFonts w:ascii="Candara" w:hAnsi="Candara"/>
          <w:sz w:val="18"/>
          <w:szCs w:val="18"/>
        </w:rPr>
      </w:pPr>
      <w:bookmarkStart w:id="140" w:name="Table_11_5"/>
      <w:bookmarkEnd w:id="140"/>
      <w:r w:rsidRPr="00FE36BE">
        <w:rPr>
          <w:rStyle w:val="00Text"/>
          <w:rFonts w:ascii="Candara" w:hAnsi="Candara"/>
          <w:sz w:val="18"/>
          <w:szCs w:val="18"/>
        </w:rPr>
        <w:t>Table 11.5.</w:t>
      </w:r>
      <w:r w:rsidRPr="00FE36BE">
        <w:rPr>
          <w:rFonts w:ascii="Candara" w:hAnsi="Candara"/>
          <w:sz w:val="18"/>
          <w:szCs w:val="18"/>
        </w:rPr>
        <w:t xml:space="preserve"> Reparations Received by Owners of Enslaved West Indians</w:t>
      </w:r>
    </w:p>
    <w:tbl>
      <w:tblPr>
        <w:tblW w:w="0" w:type="auto"/>
        <w:tblInd w:w="10" w:type="dxa"/>
        <w:tblCellMar>
          <w:left w:w="10" w:type="dxa"/>
          <w:right w:w="10" w:type="dxa"/>
        </w:tblCellMar>
        <w:tblLook w:val="04A0" w:firstRow="1" w:lastRow="0" w:firstColumn="1" w:lastColumn="0" w:noHBand="0" w:noVBand="1"/>
      </w:tblPr>
      <w:tblGrid>
        <w:gridCol w:w="1283"/>
        <w:gridCol w:w="1576"/>
        <w:gridCol w:w="1592"/>
      </w:tblGrid>
      <w:tr w:rsidR="00FE36BE" w:rsidRPr="00FE36BE" w14:paraId="60DC59B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A424FC1" w14:textId="77777777" w:rsidR="00FE36BE" w:rsidRPr="00FE36BE" w:rsidRDefault="00FE36BE" w:rsidP="00D348AD">
            <w:pPr>
              <w:pStyle w:val="Para46"/>
              <w:rPr>
                <w:rFonts w:ascii="Candara" w:hAnsi="Candara"/>
                <w:sz w:val="18"/>
                <w:szCs w:val="18"/>
              </w:rPr>
            </w:pPr>
            <w:r w:rsidRPr="00FE36BE">
              <w:rPr>
                <w:rFonts w:ascii="Candara" w:hAnsi="Candara"/>
                <w:sz w:val="18"/>
                <w:szCs w:val="18"/>
              </w:rPr>
              <w:t>Colony</w:t>
            </w:r>
          </w:p>
        </w:tc>
        <w:tc>
          <w:tcPr>
            <w:tcW w:w="0" w:type="auto"/>
            <w:tcBorders>
              <w:top w:val="single" w:sz="3" w:space="0" w:color="auto"/>
              <w:left w:val="single" w:sz="3" w:space="0" w:color="auto"/>
              <w:bottom w:val="single" w:sz="3" w:space="0" w:color="auto"/>
              <w:right w:val="single" w:sz="3" w:space="0" w:color="auto"/>
            </w:tcBorders>
            <w:vAlign w:val="center"/>
          </w:tcPr>
          <w:p w14:paraId="5CFA8DEE" w14:textId="77777777" w:rsidR="00FE36BE" w:rsidRPr="00FE36BE" w:rsidRDefault="00FE36BE" w:rsidP="00D348AD">
            <w:pPr>
              <w:pStyle w:val="Para46"/>
              <w:rPr>
                <w:rFonts w:ascii="Candara" w:hAnsi="Candara"/>
                <w:sz w:val="18"/>
                <w:szCs w:val="18"/>
              </w:rPr>
            </w:pPr>
            <w:r w:rsidRPr="00FE36BE">
              <w:rPr>
                <w:rFonts w:ascii="Candara" w:hAnsi="Candara"/>
                <w:sz w:val="18"/>
                <w:szCs w:val="18"/>
              </w:rPr>
              <w:t>Number of Enslaved</w:t>
            </w:r>
          </w:p>
        </w:tc>
        <w:tc>
          <w:tcPr>
            <w:tcW w:w="0" w:type="auto"/>
            <w:tcBorders>
              <w:top w:val="single" w:sz="3" w:space="0" w:color="auto"/>
              <w:left w:val="single" w:sz="3" w:space="0" w:color="auto"/>
              <w:bottom w:val="single" w:sz="3" w:space="0" w:color="auto"/>
              <w:right w:val="single" w:sz="3" w:space="0" w:color="auto"/>
            </w:tcBorders>
            <w:vAlign w:val="center"/>
          </w:tcPr>
          <w:p w14:paraId="1323D62E" w14:textId="77777777" w:rsidR="00FE36BE" w:rsidRPr="00FE36BE" w:rsidRDefault="00FE36BE" w:rsidP="00D348AD">
            <w:pPr>
              <w:pStyle w:val="Para46"/>
              <w:rPr>
                <w:rFonts w:ascii="Candara" w:hAnsi="Candara"/>
                <w:sz w:val="18"/>
                <w:szCs w:val="18"/>
              </w:rPr>
            </w:pPr>
            <w:r w:rsidRPr="00FE36BE">
              <w:rPr>
                <w:rFonts w:ascii="Candara" w:hAnsi="Candara"/>
                <w:sz w:val="18"/>
                <w:szCs w:val="18"/>
              </w:rPr>
              <w:t>Money Received in £</w:t>
            </w:r>
          </w:p>
        </w:tc>
      </w:tr>
      <w:tr w:rsidR="00FE36BE" w:rsidRPr="00FE36BE" w14:paraId="706B91BA"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06A5B0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Anguilla</w:t>
            </w:r>
          </w:p>
        </w:tc>
        <w:tc>
          <w:tcPr>
            <w:tcW w:w="0" w:type="auto"/>
            <w:tcBorders>
              <w:top w:val="single" w:sz="3" w:space="0" w:color="auto"/>
              <w:left w:val="single" w:sz="3" w:space="0" w:color="auto"/>
              <w:bottom w:val="single" w:sz="3" w:space="0" w:color="auto"/>
              <w:right w:val="single" w:sz="3" w:space="0" w:color="auto"/>
            </w:tcBorders>
            <w:vAlign w:val="center"/>
          </w:tcPr>
          <w:p w14:paraId="0B33196D"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2,260</w:t>
            </w:r>
          </w:p>
        </w:tc>
        <w:tc>
          <w:tcPr>
            <w:tcW w:w="0" w:type="auto"/>
            <w:tcBorders>
              <w:top w:val="single" w:sz="3" w:space="0" w:color="auto"/>
              <w:left w:val="single" w:sz="3" w:space="0" w:color="auto"/>
              <w:bottom w:val="single" w:sz="3" w:space="0" w:color="auto"/>
              <w:right w:val="single" w:sz="3" w:space="0" w:color="auto"/>
            </w:tcBorders>
            <w:vAlign w:val="center"/>
          </w:tcPr>
          <w:p w14:paraId="4263241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35,669</w:t>
            </w:r>
          </w:p>
        </w:tc>
      </w:tr>
      <w:tr w:rsidR="00FE36BE" w:rsidRPr="00FE36BE" w14:paraId="38DEA42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9C2842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Antigua</w:t>
            </w:r>
          </w:p>
        </w:tc>
        <w:tc>
          <w:tcPr>
            <w:tcW w:w="0" w:type="auto"/>
            <w:tcBorders>
              <w:top w:val="single" w:sz="3" w:space="0" w:color="auto"/>
              <w:left w:val="single" w:sz="3" w:space="0" w:color="auto"/>
              <w:bottom w:val="single" w:sz="3" w:space="0" w:color="auto"/>
              <w:right w:val="single" w:sz="3" w:space="0" w:color="auto"/>
            </w:tcBorders>
            <w:vAlign w:val="center"/>
          </w:tcPr>
          <w:p w14:paraId="6654C87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29,003</w:t>
            </w:r>
          </w:p>
        </w:tc>
        <w:tc>
          <w:tcPr>
            <w:tcW w:w="0" w:type="auto"/>
            <w:tcBorders>
              <w:top w:val="single" w:sz="3" w:space="0" w:color="auto"/>
              <w:left w:val="single" w:sz="3" w:space="0" w:color="auto"/>
              <w:bottom w:val="single" w:sz="3" w:space="0" w:color="auto"/>
              <w:right w:val="single" w:sz="3" w:space="0" w:color="auto"/>
            </w:tcBorders>
            <w:vAlign w:val="center"/>
          </w:tcPr>
          <w:p w14:paraId="5D9BB0E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424,391</w:t>
            </w:r>
          </w:p>
        </w:tc>
      </w:tr>
      <w:tr w:rsidR="00FE36BE" w:rsidRPr="00FE36BE" w14:paraId="714C257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04C26E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Barbados</w:t>
            </w:r>
          </w:p>
        </w:tc>
        <w:tc>
          <w:tcPr>
            <w:tcW w:w="0" w:type="auto"/>
            <w:tcBorders>
              <w:top w:val="single" w:sz="3" w:space="0" w:color="auto"/>
              <w:left w:val="single" w:sz="3" w:space="0" w:color="auto"/>
              <w:bottom w:val="single" w:sz="3" w:space="0" w:color="auto"/>
              <w:right w:val="single" w:sz="3" w:space="0" w:color="auto"/>
            </w:tcBorders>
            <w:vAlign w:val="center"/>
          </w:tcPr>
          <w:p w14:paraId="147DA21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83,225</w:t>
            </w:r>
          </w:p>
        </w:tc>
        <w:tc>
          <w:tcPr>
            <w:tcW w:w="0" w:type="auto"/>
            <w:tcBorders>
              <w:top w:val="single" w:sz="3" w:space="0" w:color="auto"/>
              <w:left w:val="single" w:sz="3" w:space="0" w:color="auto"/>
              <w:bottom w:val="single" w:sz="3" w:space="0" w:color="auto"/>
              <w:right w:val="single" w:sz="3" w:space="0" w:color="auto"/>
            </w:tcBorders>
            <w:vAlign w:val="center"/>
          </w:tcPr>
          <w:p w14:paraId="32BF55D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1,714,561</w:t>
            </w:r>
          </w:p>
        </w:tc>
      </w:tr>
      <w:tr w:rsidR="00FE36BE" w:rsidRPr="00FE36BE" w14:paraId="1E6336A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147223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British Guiana</w:t>
            </w:r>
          </w:p>
        </w:tc>
        <w:tc>
          <w:tcPr>
            <w:tcW w:w="0" w:type="auto"/>
            <w:tcBorders>
              <w:top w:val="single" w:sz="3" w:space="0" w:color="auto"/>
              <w:left w:val="single" w:sz="3" w:space="0" w:color="auto"/>
              <w:bottom w:val="single" w:sz="3" w:space="0" w:color="auto"/>
              <w:right w:val="single" w:sz="3" w:space="0" w:color="auto"/>
            </w:tcBorders>
            <w:vAlign w:val="center"/>
          </w:tcPr>
          <w:p w14:paraId="70F7C6A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84,075</w:t>
            </w:r>
          </w:p>
        </w:tc>
        <w:tc>
          <w:tcPr>
            <w:tcW w:w="0" w:type="auto"/>
            <w:tcBorders>
              <w:top w:val="single" w:sz="3" w:space="0" w:color="auto"/>
              <w:left w:val="single" w:sz="3" w:space="0" w:color="auto"/>
              <w:bottom w:val="single" w:sz="3" w:space="0" w:color="auto"/>
              <w:right w:val="single" w:sz="3" w:space="0" w:color="auto"/>
            </w:tcBorders>
            <w:vAlign w:val="center"/>
          </w:tcPr>
          <w:p w14:paraId="6C8DFE5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4,281,032</w:t>
            </w:r>
          </w:p>
        </w:tc>
      </w:tr>
      <w:tr w:rsidR="00FE36BE" w:rsidRPr="00FE36BE" w14:paraId="7E1663E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F33B566" w14:textId="77777777" w:rsidR="00FE36BE" w:rsidRPr="00FE36BE" w:rsidRDefault="00FE36BE" w:rsidP="00D348AD">
            <w:pPr>
              <w:pStyle w:val="Para06"/>
              <w:rPr>
                <w:rFonts w:ascii="Candara" w:hAnsi="Candara"/>
                <w:sz w:val="18"/>
                <w:szCs w:val="18"/>
              </w:rPr>
            </w:pPr>
            <w:r w:rsidRPr="00FE36BE">
              <w:rPr>
                <w:rFonts w:ascii="Candara" w:hAnsi="Candara"/>
                <w:sz w:val="18"/>
                <w:szCs w:val="18"/>
              </w:rPr>
              <w:t>Dominica</w:t>
            </w:r>
          </w:p>
        </w:tc>
        <w:tc>
          <w:tcPr>
            <w:tcW w:w="0" w:type="auto"/>
            <w:tcBorders>
              <w:top w:val="single" w:sz="3" w:space="0" w:color="auto"/>
              <w:left w:val="single" w:sz="3" w:space="0" w:color="auto"/>
              <w:bottom w:val="single" w:sz="3" w:space="0" w:color="auto"/>
              <w:right w:val="single" w:sz="3" w:space="0" w:color="auto"/>
            </w:tcBorders>
            <w:vAlign w:val="center"/>
          </w:tcPr>
          <w:p w14:paraId="5DC2EE0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14,266</w:t>
            </w:r>
          </w:p>
        </w:tc>
        <w:tc>
          <w:tcPr>
            <w:tcW w:w="0" w:type="auto"/>
            <w:tcBorders>
              <w:top w:val="single" w:sz="3" w:space="0" w:color="auto"/>
              <w:left w:val="single" w:sz="3" w:space="0" w:color="auto"/>
              <w:bottom w:val="single" w:sz="3" w:space="0" w:color="auto"/>
              <w:right w:val="single" w:sz="3" w:space="0" w:color="auto"/>
            </w:tcBorders>
            <w:vAlign w:val="center"/>
          </w:tcPr>
          <w:p w14:paraId="1A31A86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277,737</w:t>
            </w:r>
          </w:p>
        </w:tc>
      </w:tr>
      <w:tr w:rsidR="00FE36BE" w:rsidRPr="00FE36BE" w14:paraId="6536188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C03E27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Grenada</w:t>
            </w:r>
          </w:p>
        </w:tc>
        <w:tc>
          <w:tcPr>
            <w:tcW w:w="0" w:type="auto"/>
            <w:tcBorders>
              <w:top w:val="single" w:sz="3" w:space="0" w:color="auto"/>
              <w:left w:val="single" w:sz="3" w:space="0" w:color="auto"/>
              <w:bottom w:val="single" w:sz="3" w:space="0" w:color="auto"/>
              <w:right w:val="single" w:sz="3" w:space="0" w:color="auto"/>
            </w:tcBorders>
            <w:vAlign w:val="center"/>
          </w:tcPr>
          <w:p w14:paraId="7C13128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23,729</w:t>
            </w:r>
          </w:p>
        </w:tc>
        <w:tc>
          <w:tcPr>
            <w:tcW w:w="0" w:type="auto"/>
            <w:tcBorders>
              <w:top w:val="single" w:sz="3" w:space="0" w:color="auto"/>
              <w:left w:val="single" w:sz="3" w:space="0" w:color="auto"/>
              <w:bottom w:val="single" w:sz="3" w:space="0" w:color="auto"/>
              <w:right w:val="single" w:sz="3" w:space="0" w:color="auto"/>
            </w:tcBorders>
            <w:vAlign w:val="center"/>
          </w:tcPr>
          <w:p w14:paraId="02BB444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615,671</w:t>
            </w:r>
          </w:p>
        </w:tc>
      </w:tr>
      <w:tr w:rsidR="00FE36BE" w:rsidRPr="00FE36BE" w14:paraId="45B87DEB"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756CAC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British Honduras</w:t>
            </w:r>
          </w:p>
        </w:tc>
        <w:tc>
          <w:tcPr>
            <w:tcW w:w="0" w:type="auto"/>
            <w:tcBorders>
              <w:top w:val="single" w:sz="3" w:space="0" w:color="auto"/>
              <w:left w:val="single" w:sz="3" w:space="0" w:color="auto"/>
              <w:bottom w:val="single" w:sz="3" w:space="0" w:color="auto"/>
              <w:right w:val="single" w:sz="3" w:space="0" w:color="auto"/>
            </w:tcBorders>
            <w:vAlign w:val="center"/>
          </w:tcPr>
          <w:p w14:paraId="07AD404F"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1,896</w:t>
            </w:r>
          </w:p>
        </w:tc>
        <w:tc>
          <w:tcPr>
            <w:tcW w:w="0" w:type="auto"/>
            <w:tcBorders>
              <w:top w:val="single" w:sz="3" w:space="0" w:color="auto"/>
              <w:left w:val="single" w:sz="3" w:space="0" w:color="auto"/>
              <w:bottom w:val="single" w:sz="3" w:space="0" w:color="auto"/>
              <w:right w:val="single" w:sz="3" w:space="0" w:color="auto"/>
            </w:tcBorders>
            <w:vAlign w:val="center"/>
          </w:tcPr>
          <w:p w14:paraId="1C88C349"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100,691</w:t>
            </w:r>
          </w:p>
        </w:tc>
      </w:tr>
      <w:tr w:rsidR="00FE36BE" w:rsidRPr="00FE36BE" w14:paraId="0F4E2147"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1C3754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Jamaica</w:t>
            </w:r>
          </w:p>
        </w:tc>
        <w:tc>
          <w:tcPr>
            <w:tcW w:w="0" w:type="auto"/>
            <w:tcBorders>
              <w:top w:val="single" w:sz="3" w:space="0" w:color="auto"/>
              <w:left w:val="single" w:sz="3" w:space="0" w:color="auto"/>
              <w:bottom w:val="single" w:sz="3" w:space="0" w:color="auto"/>
              <w:right w:val="single" w:sz="3" w:space="0" w:color="auto"/>
            </w:tcBorders>
            <w:vAlign w:val="center"/>
          </w:tcPr>
          <w:p w14:paraId="527683D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311,455</w:t>
            </w:r>
          </w:p>
        </w:tc>
        <w:tc>
          <w:tcPr>
            <w:tcW w:w="0" w:type="auto"/>
            <w:tcBorders>
              <w:top w:val="single" w:sz="3" w:space="0" w:color="auto"/>
              <w:left w:val="single" w:sz="3" w:space="0" w:color="auto"/>
              <w:bottom w:val="single" w:sz="3" w:space="0" w:color="auto"/>
              <w:right w:val="single" w:sz="3" w:space="0" w:color="auto"/>
            </w:tcBorders>
            <w:vAlign w:val="center"/>
          </w:tcPr>
          <w:p w14:paraId="27AC127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6,121,446</w:t>
            </w:r>
          </w:p>
        </w:tc>
      </w:tr>
      <w:tr w:rsidR="00FE36BE" w:rsidRPr="00FE36BE" w14:paraId="48A548E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35F486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Montserrat</w:t>
            </w:r>
          </w:p>
        </w:tc>
        <w:tc>
          <w:tcPr>
            <w:tcW w:w="0" w:type="auto"/>
            <w:tcBorders>
              <w:top w:val="single" w:sz="3" w:space="0" w:color="auto"/>
              <w:left w:val="single" w:sz="3" w:space="0" w:color="auto"/>
              <w:bottom w:val="single" w:sz="3" w:space="0" w:color="auto"/>
              <w:right w:val="single" w:sz="3" w:space="0" w:color="auto"/>
            </w:tcBorders>
            <w:vAlign w:val="center"/>
          </w:tcPr>
          <w:p w14:paraId="396A812C"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6,392</w:t>
            </w:r>
          </w:p>
        </w:tc>
        <w:tc>
          <w:tcPr>
            <w:tcW w:w="0" w:type="auto"/>
            <w:tcBorders>
              <w:top w:val="single" w:sz="3" w:space="0" w:color="auto"/>
              <w:left w:val="single" w:sz="3" w:space="0" w:color="auto"/>
              <w:bottom w:val="single" w:sz="3" w:space="0" w:color="auto"/>
              <w:right w:val="single" w:sz="3" w:space="0" w:color="auto"/>
            </w:tcBorders>
            <w:vAlign w:val="center"/>
          </w:tcPr>
          <w:p w14:paraId="45EA4D5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103,556</w:t>
            </w:r>
          </w:p>
        </w:tc>
      </w:tr>
      <w:tr w:rsidR="00FE36BE" w:rsidRPr="00FE36BE" w14:paraId="2796A838"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7EAF1BB" w14:textId="77777777" w:rsidR="00FE36BE" w:rsidRPr="00FE36BE" w:rsidRDefault="00FE36BE" w:rsidP="00D348AD">
            <w:pPr>
              <w:pStyle w:val="Para06"/>
              <w:rPr>
                <w:rFonts w:ascii="Candara" w:hAnsi="Candara"/>
                <w:sz w:val="18"/>
                <w:szCs w:val="18"/>
              </w:rPr>
            </w:pPr>
            <w:r w:rsidRPr="00FE36BE">
              <w:rPr>
                <w:rFonts w:ascii="Candara" w:hAnsi="Candara"/>
                <w:sz w:val="18"/>
                <w:szCs w:val="18"/>
              </w:rPr>
              <w:lastRenderedPageBreak/>
              <w:t>Nevis</w:t>
            </w:r>
          </w:p>
        </w:tc>
        <w:tc>
          <w:tcPr>
            <w:tcW w:w="0" w:type="auto"/>
            <w:tcBorders>
              <w:top w:val="single" w:sz="3" w:space="0" w:color="auto"/>
              <w:left w:val="single" w:sz="3" w:space="0" w:color="auto"/>
              <w:bottom w:val="single" w:sz="3" w:space="0" w:color="auto"/>
              <w:right w:val="single" w:sz="3" w:space="0" w:color="auto"/>
            </w:tcBorders>
            <w:vAlign w:val="center"/>
          </w:tcPr>
          <w:p w14:paraId="5B4859A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8,792</w:t>
            </w:r>
          </w:p>
        </w:tc>
        <w:tc>
          <w:tcPr>
            <w:tcW w:w="0" w:type="auto"/>
            <w:tcBorders>
              <w:top w:val="single" w:sz="3" w:space="0" w:color="auto"/>
              <w:left w:val="single" w:sz="3" w:space="0" w:color="auto"/>
              <w:bottom w:val="single" w:sz="3" w:space="0" w:color="auto"/>
              <w:right w:val="single" w:sz="3" w:space="0" w:color="auto"/>
            </w:tcBorders>
            <w:vAlign w:val="center"/>
          </w:tcPr>
          <w:p w14:paraId="01A4BA95"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149,611</w:t>
            </w:r>
          </w:p>
        </w:tc>
      </w:tr>
      <w:tr w:rsidR="00FE36BE" w:rsidRPr="00FE36BE" w14:paraId="3EB02E7A"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9C027C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Kitts</w:t>
            </w:r>
          </w:p>
        </w:tc>
        <w:tc>
          <w:tcPr>
            <w:tcW w:w="0" w:type="auto"/>
            <w:tcBorders>
              <w:top w:val="single" w:sz="3" w:space="0" w:color="auto"/>
              <w:left w:val="single" w:sz="3" w:space="0" w:color="auto"/>
              <w:bottom w:val="single" w:sz="3" w:space="0" w:color="auto"/>
              <w:right w:val="single" w:sz="3" w:space="0" w:color="auto"/>
            </w:tcBorders>
            <w:vAlign w:val="center"/>
          </w:tcPr>
          <w:p w14:paraId="3BC24AC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17,514</w:t>
            </w:r>
          </w:p>
        </w:tc>
        <w:tc>
          <w:tcPr>
            <w:tcW w:w="0" w:type="auto"/>
            <w:tcBorders>
              <w:top w:val="single" w:sz="3" w:space="0" w:color="auto"/>
              <w:left w:val="single" w:sz="3" w:space="0" w:color="auto"/>
              <w:bottom w:val="single" w:sz="3" w:space="0" w:color="auto"/>
              <w:right w:val="single" w:sz="3" w:space="0" w:color="auto"/>
            </w:tcBorders>
            <w:vAlign w:val="center"/>
          </w:tcPr>
          <w:p w14:paraId="27BAA748"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293,331</w:t>
            </w:r>
          </w:p>
        </w:tc>
      </w:tr>
      <w:tr w:rsidR="00FE36BE" w:rsidRPr="00FE36BE" w14:paraId="48C047B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7F3D67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Lucia</w:t>
            </w:r>
          </w:p>
        </w:tc>
        <w:tc>
          <w:tcPr>
            <w:tcW w:w="0" w:type="auto"/>
            <w:tcBorders>
              <w:top w:val="single" w:sz="3" w:space="0" w:color="auto"/>
              <w:left w:val="single" w:sz="3" w:space="0" w:color="auto"/>
              <w:bottom w:val="single" w:sz="3" w:space="0" w:color="auto"/>
              <w:right w:val="single" w:sz="3" w:space="0" w:color="auto"/>
            </w:tcBorders>
            <w:vAlign w:val="center"/>
          </w:tcPr>
          <w:p w14:paraId="3076518B"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13,232</w:t>
            </w:r>
          </w:p>
        </w:tc>
        <w:tc>
          <w:tcPr>
            <w:tcW w:w="0" w:type="auto"/>
            <w:tcBorders>
              <w:top w:val="single" w:sz="3" w:space="0" w:color="auto"/>
              <w:left w:val="single" w:sz="3" w:space="0" w:color="auto"/>
              <w:bottom w:val="single" w:sz="3" w:space="0" w:color="auto"/>
              <w:right w:val="single" w:sz="3" w:space="0" w:color="auto"/>
            </w:tcBorders>
            <w:vAlign w:val="center"/>
          </w:tcPr>
          <w:p w14:paraId="4623069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331,805</w:t>
            </w:r>
          </w:p>
        </w:tc>
      </w:tr>
      <w:tr w:rsidR="00FE36BE" w:rsidRPr="00FE36BE" w14:paraId="27BD068A"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38CEDB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St Vincent</w:t>
            </w:r>
          </w:p>
        </w:tc>
        <w:tc>
          <w:tcPr>
            <w:tcW w:w="0" w:type="auto"/>
            <w:tcBorders>
              <w:top w:val="single" w:sz="3" w:space="0" w:color="auto"/>
              <w:left w:val="single" w:sz="3" w:space="0" w:color="auto"/>
              <w:bottom w:val="single" w:sz="3" w:space="0" w:color="auto"/>
              <w:right w:val="single" w:sz="3" w:space="0" w:color="auto"/>
            </w:tcBorders>
            <w:vAlign w:val="center"/>
          </w:tcPr>
          <w:p w14:paraId="20872C1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22,786</w:t>
            </w:r>
          </w:p>
        </w:tc>
        <w:tc>
          <w:tcPr>
            <w:tcW w:w="0" w:type="auto"/>
            <w:tcBorders>
              <w:top w:val="single" w:sz="3" w:space="0" w:color="auto"/>
              <w:left w:val="single" w:sz="3" w:space="0" w:color="auto"/>
              <w:bottom w:val="single" w:sz="3" w:space="0" w:color="auto"/>
              <w:right w:val="single" w:sz="3" w:space="0" w:color="auto"/>
            </w:tcBorders>
            <w:vAlign w:val="center"/>
          </w:tcPr>
          <w:p w14:paraId="7CB430B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579,300</w:t>
            </w:r>
          </w:p>
        </w:tc>
      </w:tr>
      <w:tr w:rsidR="00FE36BE" w:rsidRPr="00FE36BE" w14:paraId="4F27CE2E"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9B0A8F0"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Tobago</w:t>
            </w:r>
          </w:p>
        </w:tc>
        <w:tc>
          <w:tcPr>
            <w:tcW w:w="0" w:type="auto"/>
            <w:tcBorders>
              <w:top w:val="single" w:sz="3" w:space="0" w:color="auto"/>
              <w:left w:val="single" w:sz="3" w:space="0" w:color="auto"/>
              <w:bottom w:val="single" w:sz="3" w:space="0" w:color="auto"/>
              <w:right w:val="single" w:sz="3" w:space="0" w:color="auto"/>
            </w:tcBorders>
            <w:vAlign w:val="center"/>
          </w:tcPr>
          <w:p w14:paraId="294DB9A2"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11,592</w:t>
            </w:r>
          </w:p>
        </w:tc>
        <w:tc>
          <w:tcPr>
            <w:tcW w:w="0" w:type="auto"/>
            <w:tcBorders>
              <w:top w:val="single" w:sz="3" w:space="0" w:color="auto"/>
              <w:left w:val="single" w:sz="3" w:space="0" w:color="auto"/>
              <w:bottom w:val="single" w:sz="3" w:space="0" w:color="auto"/>
              <w:right w:val="single" w:sz="3" w:space="0" w:color="auto"/>
            </w:tcBorders>
            <w:vAlign w:val="center"/>
          </w:tcPr>
          <w:p w14:paraId="25D7496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233,367</w:t>
            </w:r>
          </w:p>
        </w:tc>
      </w:tr>
      <w:tr w:rsidR="00FE36BE" w:rsidRPr="00FE36BE" w14:paraId="566F693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51DABC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Trinidad</w:t>
            </w:r>
          </w:p>
        </w:tc>
        <w:tc>
          <w:tcPr>
            <w:tcW w:w="0" w:type="auto"/>
            <w:tcBorders>
              <w:top w:val="single" w:sz="3" w:space="0" w:color="auto"/>
              <w:left w:val="single" w:sz="3" w:space="0" w:color="auto"/>
              <w:bottom w:val="single" w:sz="3" w:space="0" w:color="auto"/>
              <w:right w:val="single" w:sz="3" w:space="0" w:color="auto"/>
            </w:tcBorders>
            <w:vAlign w:val="center"/>
          </w:tcPr>
          <w:p w14:paraId="1E53CEC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20,428</w:t>
            </w:r>
          </w:p>
        </w:tc>
        <w:tc>
          <w:tcPr>
            <w:tcW w:w="0" w:type="auto"/>
            <w:tcBorders>
              <w:top w:val="single" w:sz="3" w:space="0" w:color="auto"/>
              <w:left w:val="single" w:sz="3" w:space="0" w:color="auto"/>
              <w:bottom w:val="single" w:sz="3" w:space="0" w:color="auto"/>
              <w:right w:val="single" w:sz="3" w:space="0" w:color="auto"/>
            </w:tcBorders>
            <w:vAlign w:val="center"/>
          </w:tcPr>
          <w:p w14:paraId="103182B1"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1,021,858</w:t>
            </w:r>
          </w:p>
        </w:tc>
      </w:tr>
      <w:tr w:rsidR="00FE36BE" w:rsidRPr="00FE36BE" w14:paraId="66B0462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B241D34" w14:textId="77777777" w:rsidR="00FE36BE" w:rsidRPr="00FE36BE" w:rsidRDefault="00FE36BE" w:rsidP="00D348AD">
            <w:pPr>
              <w:pStyle w:val="Para06"/>
              <w:rPr>
                <w:rFonts w:ascii="Candara" w:hAnsi="Candara"/>
                <w:sz w:val="18"/>
                <w:szCs w:val="18"/>
              </w:rPr>
            </w:pPr>
            <w:r w:rsidRPr="00FE36BE">
              <w:rPr>
                <w:rFonts w:ascii="Candara" w:hAnsi="Candara"/>
                <w:sz w:val="18"/>
                <w:szCs w:val="18"/>
              </w:rPr>
              <w:t>Virgin Islands</w:t>
            </w:r>
          </w:p>
        </w:tc>
        <w:tc>
          <w:tcPr>
            <w:tcW w:w="0" w:type="auto"/>
            <w:tcBorders>
              <w:top w:val="single" w:sz="3" w:space="0" w:color="auto"/>
              <w:left w:val="single" w:sz="3" w:space="0" w:color="auto"/>
              <w:bottom w:val="single" w:sz="3" w:space="0" w:color="auto"/>
              <w:right w:val="single" w:sz="3" w:space="0" w:color="auto"/>
            </w:tcBorders>
            <w:vAlign w:val="center"/>
          </w:tcPr>
          <w:p w14:paraId="03810C8A" w14:textId="77777777" w:rsidR="00FE36BE" w:rsidRPr="00FE36BE" w:rsidRDefault="00FE36BE" w:rsidP="00D348AD">
            <w:pPr>
              <w:pStyle w:val="Para06"/>
              <w:rPr>
                <w:rFonts w:ascii="Candara" w:hAnsi="Candara"/>
                <w:sz w:val="18"/>
                <w:szCs w:val="18"/>
              </w:rPr>
            </w:pPr>
            <w:r w:rsidRPr="00FE36BE">
              <w:rPr>
                <w:rFonts w:ascii="Candara" w:hAnsi="Candara"/>
                <w:sz w:val="18"/>
                <w:szCs w:val="18"/>
              </w:rPr>
              <w:t>5,135</w:t>
            </w:r>
          </w:p>
        </w:tc>
        <w:tc>
          <w:tcPr>
            <w:tcW w:w="0" w:type="auto"/>
            <w:tcBorders>
              <w:top w:val="single" w:sz="3" w:space="0" w:color="auto"/>
              <w:left w:val="single" w:sz="3" w:space="0" w:color="auto"/>
              <w:bottom w:val="single" w:sz="3" w:space="0" w:color="auto"/>
              <w:right w:val="single" w:sz="3" w:space="0" w:color="auto"/>
            </w:tcBorders>
            <w:vAlign w:val="center"/>
          </w:tcPr>
          <w:p w14:paraId="08CAC9E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72,635</w:t>
            </w:r>
          </w:p>
        </w:tc>
      </w:tr>
      <w:tr w:rsidR="00FE36BE" w:rsidRPr="00FE36BE" w14:paraId="41D6EB1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37F6E6E" w14:textId="77777777" w:rsidR="00FE36BE" w:rsidRPr="00FE36BE" w:rsidRDefault="00FE36BE" w:rsidP="00D348AD">
            <w:pPr>
              <w:pStyle w:val="Para06"/>
              <w:rPr>
                <w:rFonts w:ascii="Candara" w:hAnsi="Candara"/>
                <w:sz w:val="18"/>
                <w:szCs w:val="18"/>
              </w:rPr>
            </w:pPr>
            <w:r w:rsidRPr="00FE36BE">
              <w:rPr>
                <w:rFonts w:ascii="Candara" w:hAnsi="Candara"/>
                <w:sz w:val="18"/>
                <w:szCs w:val="18"/>
              </w:rPr>
              <w:t>Total</w:t>
            </w:r>
          </w:p>
        </w:tc>
        <w:tc>
          <w:tcPr>
            <w:tcW w:w="0" w:type="auto"/>
            <w:tcBorders>
              <w:top w:val="single" w:sz="3" w:space="0" w:color="auto"/>
              <w:left w:val="single" w:sz="3" w:space="0" w:color="auto"/>
              <w:bottom w:val="single" w:sz="3" w:space="0" w:color="auto"/>
              <w:right w:val="single" w:sz="3" w:space="0" w:color="auto"/>
            </w:tcBorders>
            <w:vAlign w:val="center"/>
          </w:tcPr>
          <w:p w14:paraId="1ABC30E7" w14:textId="77777777" w:rsidR="00FE36BE" w:rsidRPr="00FE36BE" w:rsidRDefault="00FE36BE" w:rsidP="00D348AD">
            <w:pPr>
              <w:pStyle w:val="Para06"/>
              <w:rPr>
                <w:rFonts w:ascii="Candara" w:hAnsi="Candara"/>
                <w:sz w:val="18"/>
                <w:szCs w:val="18"/>
              </w:rPr>
            </w:pPr>
            <w:r w:rsidRPr="00FE36BE">
              <w:rPr>
                <w:rFonts w:ascii="Candara" w:hAnsi="Candara"/>
                <w:sz w:val="18"/>
                <w:szCs w:val="18"/>
              </w:rPr>
              <w:t>655,780</w:t>
            </w:r>
          </w:p>
        </w:tc>
        <w:tc>
          <w:tcPr>
            <w:tcW w:w="0" w:type="auto"/>
            <w:tcBorders>
              <w:top w:val="single" w:sz="3" w:space="0" w:color="auto"/>
              <w:left w:val="single" w:sz="3" w:space="0" w:color="auto"/>
              <w:bottom w:val="single" w:sz="3" w:space="0" w:color="auto"/>
              <w:right w:val="single" w:sz="3" w:space="0" w:color="auto"/>
            </w:tcBorders>
            <w:vAlign w:val="center"/>
          </w:tcPr>
          <w:p w14:paraId="40ACD793" w14:textId="77777777" w:rsidR="00FE36BE" w:rsidRPr="00FE36BE" w:rsidRDefault="00FE36BE" w:rsidP="00D348AD">
            <w:pPr>
              <w:pStyle w:val="Para06"/>
              <w:rPr>
                <w:rFonts w:ascii="Candara" w:hAnsi="Candara"/>
                <w:sz w:val="18"/>
                <w:szCs w:val="18"/>
              </w:rPr>
            </w:pPr>
            <w:r w:rsidRPr="00FE36BE">
              <w:rPr>
                <w:rFonts w:ascii="Candara" w:hAnsi="Candara"/>
                <w:sz w:val="18"/>
                <w:szCs w:val="18"/>
              </w:rPr>
              <w:t>16,356,661*</w:t>
            </w:r>
          </w:p>
        </w:tc>
      </w:tr>
    </w:tbl>
    <w:p w14:paraId="6D0565CF" w14:textId="77777777" w:rsidR="00FE36BE" w:rsidRPr="00FE36BE" w:rsidRDefault="00FE36BE" w:rsidP="00FE36BE">
      <w:pPr>
        <w:pStyle w:val="Para70"/>
        <w:rPr>
          <w:rFonts w:ascii="Candara" w:hAnsi="Candara"/>
          <w:sz w:val="18"/>
          <w:szCs w:val="18"/>
        </w:rPr>
      </w:pPr>
      <w:r w:rsidRPr="00FE36BE">
        <w:rPr>
          <w:rFonts w:ascii="Candara" w:hAnsi="Candara"/>
          <w:sz w:val="18"/>
          <w:szCs w:val="18"/>
        </w:rPr>
        <w:t>*Total equals £11.6 billion in 2010e.</w:t>
      </w:r>
    </w:p>
    <w:p w14:paraId="031FA698" w14:textId="77777777" w:rsidR="00FE36BE" w:rsidRPr="00FE36BE" w:rsidRDefault="00FE36BE" w:rsidP="00FE36BE">
      <w:pPr>
        <w:pStyle w:val="Para44"/>
        <w:rPr>
          <w:rFonts w:ascii="Candara" w:hAnsi="Candara"/>
          <w:sz w:val="18"/>
          <w:szCs w:val="18"/>
        </w:rPr>
      </w:pPr>
      <w:r w:rsidRPr="00FE36BE">
        <w:rPr>
          <w:rFonts w:ascii="Candara" w:hAnsi="Candara"/>
          <w:sz w:val="18"/>
          <w:szCs w:val="18"/>
        </w:rPr>
        <w:t>Source:</w:t>
      </w:r>
      <w:r w:rsidRPr="00FE36BE">
        <w:rPr>
          <w:rStyle w:val="00Text"/>
          <w:rFonts w:ascii="Candara" w:hAnsi="Candara"/>
          <w:sz w:val="18"/>
          <w:szCs w:val="18"/>
        </w:rPr>
        <w:t xml:space="preserve"> Nicholas Draper, </w:t>
      </w:r>
      <w:r w:rsidRPr="00FE36BE">
        <w:rPr>
          <w:rFonts w:ascii="Candara" w:hAnsi="Candara"/>
          <w:sz w:val="18"/>
          <w:szCs w:val="18"/>
        </w:rPr>
        <w:t>The Price of Emancipation: Slave-Ownership, Compensation and British Society at the End of Slavery</w:t>
      </w:r>
      <w:r w:rsidRPr="00FE36BE">
        <w:rPr>
          <w:rStyle w:val="00Text"/>
          <w:rFonts w:ascii="Candara" w:hAnsi="Candara"/>
          <w:sz w:val="18"/>
          <w:szCs w:val="18"/>
        </w:rPr>
        <w:t xml:space="preserve"> (Cambridge: Cambridge University Press, 2010), 139.</w:t>
      </w:r>
    </w:p>
    <w:p w14:paraId="7046DA60" w14:textId="77777777" w:rsidR="00FE36BE" w:rsidRPr="00FE36BE" w:rsidRDefault="00FE36BE" w:rsidP="00FE36BE">
      <w:pPr>
        <w:pStyle w:val="Para01"/>
        <w:rPr>
          <w:rFonts w:ascii="Candara" w:hAnsi="Candara"/>
          <w:sz w:val="22"/>
          <w:szCs w:val="22"/>
        </w:rPr>
      </w:pPr>
      <w:r w:rsidRPr="00FE36BE">
        <w:rPr>
          <w:rFonts w:ascii="Candara" w:hAnsi="Candara"/>
          <w:sz w:val="22"/>
          <w:szCs w:val="22"/>
        </w:rPr>
        <w:t>In addition to the dozens of politicians and merchants, most British banks cashed in on the compensation. These banks later evolved into the institutions recognized today on the high streets and in the international arena. Many American banks, for example, have made strategic reparations contributions when the evidence became public of their historic enrichment from slavery. In Britain, Barclays Bank, Lloyds Bank and the Royal Bank of Scotland head the list of major banks with slavery origins.</w:t>
      </w:r>
    </w:p>
    <w:p w14:paraId="693487D1" w14:textId="77777777" w:rsidR="00FE36BE" w:rsidRPr="00FE36BE" w:rsidRDefault="00FE36BE" w:rsidP="00FE36BE">
      <w:pPr>
        <w:pStyle w:val="Para47"/>
        <w:rPr>
          <w:rFonts w:ascii="Candara" w:hAnsi="Candara"/>
          <w:sz w:val="22"/>
          <w:szCs w:val="22"/>
        </w:rPr>
      </w:pPr>
      <w:r w:rsidRPr="00FE36BE">
        <w:rPr>
          <w:rFonts w:ascii="Candara" w:hAnsi="Candara"/>
          <w:sz w:val="22"/>
          <w:szCs w:val="22"/>
        </w:rPr>
        <w:t>Barclays Bank</w:t>
      </w:r>
    </w:p>
    <w:p w14:paraId="1F4B3FE9" w14:textId="77777777" w:rsidR="00FE36BE" w:rsidRPr="00FE36BE" w:rsidRDefault="00FE36BE" w:rsidP="00FE36BE">
      <w:pPr>
        <w:pStyle w:val="Para11"/>
        <w:rPr>
          <w:rFonts w:ascii="Candara" w:hAnsi="Candara"/>
          <w:sz w:val="22"/>
          <w:szCs w:val="22"/>
        </w:rPr>
      </w:pPr>
      <w:r w:rsidRPr="00FE36BE">
        <w:rPr>
          <w:rFonts w:ascii="Candara" w:hAnsi="Candara"/>
          <w:sz w:val="22"/>
          <w:szCs w:val="22"/>
        </w:rPr>
        <w:t>The predecessor banks of Barclays were Barclay, Bevan and Tritton; Cocks, Biddulph and Biddulph; Stone, Martin and Stones; and Goslings and Sharpe.</w:t>
      </w:r>
      <w:bookmarkStart w:id="141" w:name="cue_242_320"/>
      <w:bookmarkEnd w:id="141"/>
      <w:r w:rsidRPr="00FE36BE">
        <w:rPr>
          <w:rFonts w:ascii="Candara" w:hAnsi="Candara"/>
          <w:sz w:val="22"/>
          <w:szCs w:val="22"/>
        </w:rPr>
        <w:fldChar w:fldCharType="begin"/>
      </w:r>
      <w:r w:rsidRPr="00FE36BE">
        <w:rPr>
          <w:rFonts w:ascii="Candara" w:hAnsi="Candara"/>
          <w:sz w:val="22"/>
          <w:szCs w:val="22"/>
        </w:rPr>
        <w:instrText xml:space="preserve"> HYPERLINK \l "note_242_320" \h </w:instrText>
      </w:r>
      <w:r w:rsidRPr="00FE36BE">
        <w:rPr>
          <w:rFonts w:ascii="Candara" w:hAnsi="Candara"/>
          <w:sz w:val="22"/>
          <w:szCs w:val="22"/>
        </w:rPr>
        <w:fldChar w:fldCharType="separate"/>
      </w:r>
      <w:r w:rsidRPr="00FE36BE">
        <w:rPr>
          <w:rStyle w:val="09Text"/>
          <w:rFonts w:ascii="Candara" w:hAnsi="Candara"/>
          <w:sz w:val="16"/>
          <w:szCs w:val="16"/>
        </w:rPr>
        <w:t>23</w:t>
      </w:r>
      <w:r w:rsidRPr="00FE36BE">
        <w:rPr>
          <w:rStyle w:val="09Text"/>
          <w:rFonts w:ascii="Candara" w:hAnsi="Candara"/>
          <w:sz w:val="16"/>
          <w:szCs w:val="16"/>
        </w:rPr>
        <w:fldChar w:fldCharType="end"/>
      </w:r>
      <w:r w:rsidRPr="00FE36BE">
        <w:rPr>
          <w:rFonts w:ascii="Candara" w:hAnsi="Candara"/>
          <w:sz w:val="22"/>
          <w:szCs w:val="22"/>
        </w:rPr>
        <w:t xml:space="preserve"> They all received reparations money on behalf of themselves, and for acting on behalf of clients and customers. Barclay, Bevan and Tritton, for example, was banker for the Scott family, who received £6,501 (£4.63 million in 2010) for the enslaved on their Jamaica estate. R. Barclay also collected £40,353 (£28.7 million in 2010) for the enslaved on the Guiana estates of John and Henry Moss of Liverpool. Barclay, Bevan and Tritton also received £35,908 (£25.5 million in 2010) as beneficiary for enslaved persons in Jamaica. It acted as agent for banker Stone, Martin and Stone in collecting £3,605 for H.A. Earle, who owned enslaved persons in St Kitts. There are many other cases in which it acted as agent for slave owners, and also on its own behalf as holder of property rights in enslaved blacks.</w:t>
      </w:r>
      <w:bookmarkStart w:id="142" w:name="cue_242_321"/>
      <w:bookmarkEnd w:id="142"/>
      <w:r w:rsidRPr="00FE36BE">
        <w:rPr>
          <w:rFonts w:ascii="Candara" w:hAnsi="Candara"/>
          <w:sz w:val="22"/>
          <w:szCs w:val="22"/>
        </w:rPr>
        <w:fldChar w:fldCharType="begin"/>
      </w:r>
      <w:r w:rsidRPr="00FE36BE">
        <w:rPr>
          <w:rFonts w:ascii="Candara" w:hAnsi="Candara"/>
          <w:sz w:val="22"/>
          <w:szCs w:val="22"/>
        </w:rPr>
        <w:instrText xml:space="preserve"> HYPERLINK \l "note_242_321" \h </w:instrText>
      </w:r>
      <w:r w:rsidRPr="00FE36BE">
        <w:rPr>
          <w:rFonts w:ascii="Candara" w:hAnsi="Candara"/>
          <w:sz w:val="22"/>
          <w:szCs w:val="22"/>
        </w:rPr>
        <w:fldChar w:fldCharType="separate"/>
      </w:r>
      <w:r w:rsidRPr="00FE36BE">
        <w:rPr>
          <w:rStyle w:val="09Text"/>
          <w:rFonts w:ascii="Candara" w:hAnsi="Candara"/>
          <w:sz w:val="16"/>
          <w:szCs w:val="16"/>
        </w:rPr>
        <w:t>24</w:t>
      </w:r>
      <w:r w:rsidRPr="00FE36BE">
        <w:rPr>
          <w:rStyle w:val="09Text"/>
          <w:rFonts w:ascii="Candara" w:hAnsi="Candara"/>
          <w:sz w:val="16"/>
          <w:szCs w:val="16"/>
        </w:rPr>
        <w:fldChar w:fldCharType="end"/>
      </w:r>
    </w:p>
    <w:p w14:paraId="24DF7F19" w14:textId="77777777" w:rsidR="00FE36BE" w:rsidRPr="00FE36BE" w:rsidRDefault="00FE36BE" w:rsidP="00FE36BE">
      <w:pPr>
        <w:pStyle w:val="Para47"/>
        <w:rPr>
          <w:rFonts w:ascii="Candara" w:hAnsi="Candara"/>
          <w:sz w:val="22"/>
          <w:szCs w:val="22"/>
        </w:rPr>
      </w:pPr>
      <w:r w:rsidRPr="00FE36BE">
        <w:rPr>
          <w:rFonts w:ascii="Candara" w:hAnsi="Candara"/>
          <w:sz w:val="22"/>
          <w:szCs w:val="22"/>
        </w:rPr>
        <w:t>Lloyds</w:t>
      </w:r>
    </w:p>
    <w:p w14:paraId="2D1BB76D" w14:textId="77777777" w:rsidR="00FE36BE" w:rsidRPr="00FE36BE" w:rsidRDefault="00FE36BE" w:rsidP="00FE36BE">
      <w:pPr>
        <w:pStyle w:val="Para11"/>
        <w:rPr>
          <w:rFonts w:ascii="Candara" w:hAnsi="Candara"/>
          <w:sz w:val="22"/>
          <w:szCs w:val="22"/>
        </w:rPr>
      </w:pPr>
      <w:r w:rsidRPr="00FE36BE">
        <w:rPr>
          <w:rFonts w:ascii="Candara" w:hAnsi="Candara"/>
          <w:sz w:val="22"/>
          <w:szCs w:val="22"/>
        </w:rPr>
        <w:t>The predecessor firms of Lloyds were Barnetts, Hoares and Co.; Bosanquet Anderson; T.H. Farquhar and W.S. Davidson; Praed and Co.; and Stevenson and Salt. They all claimed reparations on behalf of clients. They collected £26,426 on behalf of P.J. Miles, £3,529 for Viscount St Vincent, and £2,652 for Lieutenant General John Mitchell, all Jamaican slave owners.</w:t>
      </w:r>
    </w:p>
    <w:p w14:paraId="1B58A62B" w14:textId="77777777" w:rsidR="00FE36BE" w:rsidRPr="00FE36BE" w:rsidRDefault="00FE36BE" w:rsidP="00FE36BE">
      <w:pPr>
        <w:pStyle w:val="Para47"/>
        <w:rPr>
          <w:rFonts w:ascii="Candara" w:hAnsi="Candara"/>
          <w:sz w:val="22"/>
          <w:szCs w:val="22"/>
        </w:rPr>
      </w:pPr>
      <w:r w:rsidRPr="00FE36BE">
        <w:rPr>
          <w:rFonts w:ascii="Candara" w:hAnsi="Candara"/>
          <w:sz w:val="22"/>
          <w:szCs w:val="22"/>
        </w:rPr>
        <w:t xml:space="preserve">Royal Bank of Scotland </w:t>
      </w:r>
    </w:p>
    <w:p w14:paraId="32EB83BB" w14:textId="77777777" w:rsidR="00FE36BE" w:rsidRPr="00FE36BE" w:rsidRDefault="00FE36BE" w:rsidP="00FE36BE">
      <w:pPr>
        <w:pStyle w:val="Para11"/>
        <w:rPr>
          <w:rFonts w:ascii="Candara" w:hAnsi="Candara"/>
          <w:sz w:val="22"/>
          <w:szCs w:val="22"/>
        </w:rPr>
      </w:pPr>
      <w:r w:rsidRPr="00FE36BE">
        <w:rPr>
          <w:rFonts w:ascii="Candara" w:hAnsi="Candara"/>
          <w:sz w:val="22"/>
          <w:szCs w:val="22"/>
        </w:rPr>
        <w:t>Draper relates that six of the predecessor firms of the Royal Bank of Scotland received reparations money. He notes,</w:t>
      </w:r>
    </w:p>
    <w:p w14:paraId="10297B0C" w14:textId="77777777" w:rsidR="00FE36BE" w:rsidRPr="00FE36BE" w:rsidRDefault="00FE36BE" w:rsidP="00FE36BE">
      <w:pPr>
        <w:pStyle w:val="Para14"/>
        <w:rPr>
          <w:rFonts w:ascii="Candara" w:hAnsi="Candara"/>
          <w:sz w:val="18"/>
          <w:szCs w:val="18"/>
        </w:rPr>
      </w:pPr>
      <w:bookmarkStart w:id="143" w:name="Anchor_2796"/>
      <w:bookmarkStart w:id="144" w:name="Anchor_2454"/>
      <w:bookmarkStart w:id="145" w:name="Anchor_1801"/>
      <w:bookmarkStart w:id="146" w:name="Anchor_1458"/>
      <w:bookmarkStart w:id="147" w:name="Anchor_1435"/>
      <w:bookmarkStart w:id="148" w:name="Anchor_1335"/>
      <w:bookmarkStart w:id="149" w:name="Anchor_1053"/>
      <w:bookmarkEnd w:id="143"/>
      <w:bookmarkEnd w:id="144"/>
      <w:bookmarkEnd w:id="145"/>
      <w:bookmarkEnd w:id="146"/>
      <w:bookmarkEnd w:id="147"/>
      <w:bookmarkEnd w:id="148"/>
      <w:bookmarkEnd w:id="149"/>
      <w:r w:rsidRPr="00FE36BE">
        <w:rPr>
          <w:rFonts w:ascii="Candara" w:hAnsi="Candara"/>
          <w:sz w:val="18"/>
          <w:szCs w:val="18"/>
        </w:rPr>
        <w:t>Overall, of twenty-one London predecessor banks of today’s Royal Bank of Scotland Group active at the time of Emancipation, six (Dorriens, Magens, Mello &amp; Co.; Sir James Esdaile; Robarts Curtis; Smith, Payne and Smith; Vere Sapte; and Hankey &amp; Co.) have been identified as receiving compensation as mortgagees of slave property, partners in three more (Coutts &amp; Co., Curries &amp; Co., and Williams Deacon Labouchere) acted as trustees or executors of slave owners, as well as agents in the case of Coutts and Williams Deacon; and six acted solely as banking agents (Barnard Dimsdale; Joseph Denison &amp; Co.; Drummonds; Sir J.W. Lubbock; Prescott Grote; and Glynn Mills).</w:t>
      </w:r>
      <w:bookmarkStart w:id="150" w:name="cue_242_322"/>
      <w:bookmarkEnd w:id="150"/>
      <w:r w:rsidRPr="00FE36BE">
        <w:rPr>
          <w:rFonts w:ascii="Candara" w:hAnsi="Candara"/>
          <w:sz w:val="18"/>
          <w:szCs w:val="18"/>
        </w:rPr>
        <w:fldChar w:fldCharType="begin"/>
      </w:r>
      <w:r w:rsidRPr="00FE36BE">
        <w:rPr>
          <w:rFonts w:ascii="Candara" w:hAnsi="Candara"/>
          <w:sz w:val="18"/>
          <w:szCs w:val="18"/>
        </w:rPr>
        <w:instrText xml:space="preserve"> HYPERLINK \l "note_242_322" \h </w:instrText>
      </w:r>
      <w:r w:rsidRPr="00FE36BE">
        <w:rPr>
          <w:rFonts w:ascii="Candara" w:hAnsi="Candara"/>
          <w:sz w:val="18"/>
          <w:szCs w:val="18"/>
        </w:rPr>
        <w:fldChar w:fldCharType="separate"/>
      </w:r>
      <w:r w:rsidRPr="00FE36BE">
        <w:rPr>
          <w:rStyle w:val="07Text"/>
          <w:rFonts w:ascii="Candara" w:hAnsi="Candara"/>
          <w:sz w:val="16"/>
          <w:szCs w:val="16"/>
        </w:rPr>
        <w:t>25</w:t>
      </w:r>
      <w:r w:rsidRPr="00FE36BE">
        <w:rPr>
          <w:rStyle w:val="07Text"/>
          <w:rFonts w:ascii="Candara" w:hAnsi="Candara"/>
          <w:sz w:val="16"/>
          <w:szCs w:val="16"/>
        </w:rPr>
        <w:fldChar w:fldCharType="end"/>
      </w:r>
    </w:p>
    <w:p w14:paraId="2262343B" w14:textId="77777777" w:rsidR="00FE36BE" w:rsidRPr="00FE36BE" w:rsidRDefault="00FE36BE" w:rsidP="00FE36BE">
      <w:pPr>
        <w:pStyle w:val="Para11"/>
        <w:rPr>
          <w:rFonts w:ascii="Candara" w:hAnsi="Candara"/>
          <w:sz w:val="22"/>
          <w:szCs w:val="22"/>
        </w:rPr>
      </w:pPr>
      <w:r w:rsidRPr="00FE36BE">
        <w:rPr>
          <w:rFonts w:ascii="Candara" w:hAnsi="Candara"/>
          <w:sz w:val="22"/>
          <w:szCs w:val="22"/>
        </w:rPr>
        <w:lastRenderedPageBreak/>
        <w:t>As executor trustee, for example, the Royal Bank of Scotland collected £15,379 (£10.7 million in 2010) for Job Raikes and £20,027 for J.G. Campbell, Jamaican slave owners. It also collected £10,197 (£14.2 million in 2010) for the Earl of Liverpool for his enslaved persons in Guiana. It acted on behalf of itself when it claimed £2,064 for enslaved persons in Tobago, and £4,121 for enslaved persons in Jamaica. Many other cases are recorded in which the predecessors of the Royal Bank of Scotland, acting as beneficiary, made claims on the value of enslaved West Indians.</w:t>
      </w:r>
    </w:p>
    <w:p w14:paraId="2C7A901B" w14:textId="77777777" w:rsidR="00FE36BE" w:rsidRPr="00FE36BE" w:rsidRDefault="00FE36BE" w:rsidP="00FE36BE">
      <w:pPr>
        <w:pStyle w:val="Para57"/>
        <w:rPr>
          <w:rFonts w:ascii="Candara" w:hAnsi="Candara"/>
          <w:sz w:val="22"/>
          <w:szCs w:val="22"/>
        </w:rPr>
      </w:pPr>
      <w:r w:rsidRPr="00FE36BE">
        <w:rPr>
          <w:rFonts w:ascii="Candara" w:hAnsi="Candara"/>
          <w:sz w:val="22"/>
          <w:szCs w:val="22"/>
        </w:rPr>
        <w:t>******</w:t>
      </w:r>
    </w:p>
    <w:p w14:paraId="74F71906" w14:textId="77777777" w:rsidR="00FE36BE" w:rsidRPr="00FE36BE" w:rsidRDefault="00FE36BE" w:rsidP="00FE36BE">
      <w:pPr>
        <w:pStyle w:val="Para11"/>
        <w:rPr>
          <w:rFonts w:ascii="Candara" w:hAnsi="Candara"/>
          <w:sz w:val="22"/>
          <w:szCs w:val="22"/>
        </w:rPr>
      </w:pPr>
      <w:r w:rsidRPr="00FE36BE">
        <w:rPr>
          <w:rFonts w:ascii="Candara" w:hAnsi="Candara"/>
          <w:sz w:val="22"/>
          <w:szCs w:val="22"/>
        </w:rPr>
        <w:t>Butler noted that slave owners, despite demanding more, were content with the reparations received: “Such generous compensation was unprecedented.” They hoped, she concluded, “that repaying at least part of their outstanding debts would encourage investment and make new working capital available”. Reparations, then, was read as a strategy by which the British government capitalized the national economy and the empire.</w:t>
      </w:r>
      <w:bookmarkStart w:id="151" w:name="cue_242_323"/>
      <w:bookmarkEnd w:id="151"/>
      <w:r w:rsidRPr="00FE36BE">
        <w:rPr>
          <w:rFonts w:ascii="Candara" w:hAnsi="Candara"/>
          <w:sz w:val="22"/>
          <w:szCs w:val="22"/>
        </w:rPr>
        <w:fldChar w:fldCharType="begin"/>
      </w:r>
      <w:r w:rsidRPr="00FE36BE">
        <w:rPr>
          <w:rFonts w:ascii="Candara" w:hAnsi="Candara"/>
          <w:sz w:val="22"/>
          <w:szCs w:val="22"/>
        </w:rPr>
        <w:instrText xml:space="preserve"> HYPERLINK \l "note_242_323" \h </w:instrText>
      </w:r>
      <w:r w:rsidRPr="00FE36BE">
        <w:rPr>
          <w:rFonts w:ascii="Candara" w:hAnsi="Candara"/>
          <w:sz w:val="22"/>
          <w:szCs w:val="22"/>
        </w:rPr>
        <w:fldChar w:fldCharType="separate"/>
      </w:r>
      <w:r w:rsidRPr="00FE36BE">
        <w:rPr>
          <w:rStyle w:val="09Text"/>
          <w:rFonts w:ascii="Candara" w:hAnsi="Candara"/>
          <w:sz w:val="16"/>
          <w:szCs w:val="16"/>
        </w:rPr>
        <w:t>26</w:t>
      </w:r>
      <w:r w:rsidRPr="00FE36BE">
        <w:rPr>
          <w:rStyle w:val="09Text"/>
          <w:rFonts w:ascii="Candara" w:hAnsi="Candara"/>
          <w:sz w:val="16"/>
          <w:szCs w:val="16"/>
        </w:rPr>
        <w:fldChar w:fldCharType="end"/>
      </w:r>
    </w:p>
    <w:p w14:paraId="4687E461" w14:textId="77777777" w:rsidR="00FE36BE" w:rsidRPr="00FE36BE" w:rsidRDefault="00FE36BE" w:rsidP="00FE36BE">
      <w:pPr>
        <w:pStyle w:val="Para04"/>
        <w:rPr>
          <w:rFonts w:ascii="Candara" w:hAnsi="Candara"/>
          <w:sz w:val="22"/>
          <w:szCs w:val="22"/>
        </w:rPr>
      </w:pPr>
      <w:r w:rsidRPr="00FE36BE">
        <w:rPr>
          <w:rFonts w:ascii="Candara" w:hAnsi="Candara"/>
          <w:sz w:val="22"/>
          <w:szCs w:val="22"/>
        </w:rPr>
        <w:t xml:space="preserve">The accounts of the Gladstone family tell the story of how slave owners were able to use reparations money to refinance, expand and restructure their business operations. By 1830, John Gladstone was a major slave owner in Guiana, in both the coffee and sugar sectors. He received £110,000 (£78.3 million in 2010) in reparations for his enslaved workers in Guiana and Jamaica. Critically, “he did not re-invest the money in either colony”. Rather, he bought ships for deployment in the India trade and invested in Britain’s transport sector. He bought £40,000 (£28.5 million in 2010) worth of shares in canals, which gave him control of the Forth and Clyde Canal Company. </w:t>
      </w:r>
    </w:p>
    <w:p w14:paraId="665137F9" w14:textId="77777777" w:rsidR="00FE36BE" w:rsidRPr="00FE36BE" w:rsidRDefault="00FE36BE" w:rsidP="00FE36BE">
      <w:pPr>
        <w:pStyle w:val="Para30"/>
        <w:rPr>
          <w:rFonts w:ascii="Candara" w:hAnsi="Candara"/>
          <w:sz w:val="18"/>
          <w:szCs w:val="18"/>
        </w:rPr>
      </w:pPr>
      <w:bookmarkStart w:id="152" w:name="Table_11_6"/>
      <w:bookmarkEnd w:id="152"/>
      <w:r w:rsidRPr="00FE36BE">
        <w:rPr>
          <w:rStyle w:val="00Text"/>
          <w:rFonts w:ascii="Candara" w:hAnsi="Candara"/>
          <w:sz w:val="18"/>
          <w:szCs w:val="18"/>
        </w:rPr>
        <w:t>Table 11.6.</w:t>
      </w:r>
      <w:r w:rsidRPr="00FE36BE">
        <w:rPr>
          <w:rFonts w:ascii="Candara" w:hAnsi="Candara"/>
          <w:sz w:val="18"/>
          <w:szCs w:val="18"/>
        </w:rPr>
        <w:t xml:space="preserve"> Reparations Received by British Financiers for Enslaved Jamaicans</w:t>
      </w:r>
    </w:p>
    <w:tbl>
      <w:tblPr>
        <w:tblW w:w="0" w:type="auto"/>
        <w:tblInd w:w="10" w:type="dxa"/>
        <w:tblCellMar>
          <w:left w:w="10" w:type="dxa"/>
          <w:right w:w="10" w:type="dxa"/>
        </w:tblCellMar>
        <w:tblLook w:val="04A0" w:firstRow="1" w:lastRow="0" w:firstColumn="1" w:lastColumn="0" w:noHBand="0" w:noVBand="1"/>
      </w:tblPr>
      <w:tblGrid>
        <w:gridCol w:w="4082"/>
        <w:gridCol w:w="2340"/>
        <w:gridCol w:w="2586"/>
      </w:tblGrid>
      <w:tr w:rsidR="00FE36BE" w:rsidRPr="00FE36BE" w14:paraId="71D56A74"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4DD4A62" w14:textId="77777777" w:rsidR="00FE36BE" w:rsidRPr="00FE36BE" w:rsidRDefault="00FE36BE" w:rsidP="00D348AD">
            <w:pPr>
              <w:pStyle w:val="Para36"/>
              <w:rPr>
                <w:rFonts w:ascii="Candara" w:hAnsi="Candara"/>
                <w:sz w:val="18"/>
                <w:szCs w:val="18"/>
              </w:rPr>
            </w:pPr>
            <w:r w:rsidRPr="00FE36BE">
              <w:rPr>
                <w:rFonts w:ascii="Candara" w:hAnsi="Candara"/>
                <w:sz w:val="18"/>
                <w:szCs w:val="18"/>
              </w:rPr>
              <w:t>Name of Company</w:t>
            </w:r>
          </w:p>
        </w:tc>
        <w:tc>
          <w:tcPr>
            <w:tcW w:w="0" w:type="auto"/>
            <w:tcBorders>
              <w:top w:val="single" w:sz="3" w:space="0" w:color="auto"/>
              <w:left w:val="single" w:sz="3" w:space="0" w:color="auto"/>
              <w:bottom w:val="single" w:sz="3" w:space="0" w:color="auto"/>
              <w:right w:val="single" w:sz="3" w:space="0" w:color="auto"/>
            </w:tcBorders>
            <w:vAlign w:val="center"/>
          </w:tcPr>
          <w:p w14:paraId="487B8644" w14:textId="77777777" w:rsidR="00FE36BE" w:rsidRPr="00FE36BE" w:rsidRDefault="00FE36BE" w:rsidP="00D348AD">
            <w:pPr>
              <w:pStyle w:val="0Block"/>
              <w:rPr>
                <w:rFonts w:ascii="Candara" w:hAnsi="Candara"/>
                <w:sz w:val="20"/>
                <w:szCs w:val="20"/>
              </w:rPr>
            </w:pPr>
          </w:p>
        </w:tc>
        <w:tc>
          <w:tcPr>
            <w:tcW w:w="0" w:type="auto"/>
            <w:tcBorders>
              <w:top w:val="single" w:sz="3" w:space="0" w:color="auto"/>
              <w:left w:val="single" w:sz="3" w:space="0" w:color="auto"/>
              <w:bottom w:val="single" w:sz="3" w:space="0" w:color="auto"/>
              <w:right w:val="single" w:sz="3" w:space="0" w:color="auto"/>
            </w:tcBorders>
            <w:vAlign w:val="center"/>
          </w:tcPr>
          <w:p w14:paraId="45DAB16D" w14:textId="77777777" w:rsidR="00FE36BE" w:rsidRPr="00FE36BE" w:rsidRDefault="00FE36BE" w:rsidP="00D348AD">
            <w:pPr>
              <w:pStyle w:val="Para36"/>
              <w:rPr>
                <w:rFonts w:ascii="Candara" w:hAnsi="Candara"/>
                <w:sz w:val="18"/>
                <w:szCs w:val="18"/>
              </w:rPr>
            </w:pPr>
            <w:r w:rsidRPr="00FE36BE">
              <w:rPr>
                <w:rFonts w:ascii="Candara" w:hAnsi="Candara"/>
                <w:sz w:val="18"/>
                <w:szCs w:val="18"/>
              </w:rPr>
              <w:t>Reparations (£)</w:t>
            </w:r>
          </w:p>
        </w:tc>
      </w:tr>
      <w:tr w:rsidR="00FE36BE" w:rsidRPr="00FE36BE" w14:paraId="6072E18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361C566" w14:textId="77777777" w:rsidR="00FE36BE" w:rsidRPr="00FE36BE" w:rsidRDefault="00FE36BE" w:rsidP="00D348AD">
            <w:pPr>
              <w:pStyle w:val="Para09"/>
              <w:rPr>
                <w:rFonts w:ascii="Candara" w:hAnsi="Candara"/>
                <w:sz w:val="18"/>
                <w:szCs w:val="18"/>
              </w:rPr>
            </w:pPr>
            <w:r w:rsidRPr="00FE36BE">
              <w:rPr>
                <w:rFonts w:ascii="Candara" w:hAnsi="Candara"/>
                <w:sz w:val="18"/>
                <w:szCs w:val="18"/>
              </w:rPr>
              <w:t>W., R., &amp; S. Mitchell</w:t>
            </w:r>
          </w:p>
        </w:tc>
        <w:tc>
          <w:tcPr>
            <w:tcW w:w="0" w:type="auto"/>
            <w:tcBorders>
              <w:top w:val="single" w:sz="3" w:space="0" w:color="auto"/>
              <w:left w:val="single" w:sz="3" w:space="0" w:color="auto"/>
              <w:bottom w:val="single" w:sz="3" w:space="0" w:color="auto"/>
              <w:right w:val="single" w:sz="3" w:space="0" w:color="auto"/>
            </w:tcBorders>
            <w:vAlign w:val="center"/>
          </w:tcPr>
          <w:p w14:paraId="78DEAB33"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115AB8DE" w14:textId="77777777" w:rsidR="00FE36BE" w:rsidRPr="00FE36BE" w:rsidRDefault="00FE36BE" w:rsidP="00D348AD">
            <w:pPr>
              <w:pStyle w:val="Para09"/>
              <w:rPr>
                <w:rFonts w:ascii="Candara" w:hAnsi="Candara"/>
                <w:sz w:val="18"/>
                <w:szCs w:val="18"/>
              </w:rPr>
            </w:pPr>
            <w:r w:rsidRPr="00FE36BE">
              <w:rPr>
                <w:rFonts w:ascii="Candara" w:hAnsi="Candara"/>
                <w:sz w:val="18"/>
                <w:szCs w:val="18"/>
              </w:rPr>
              <w:t>93,965</w:t>
            </w:r>
          </w:p>
        </w:tc>
      </w:tr>
      <w:tr w:rsidR="00FE36BE" w:rsidRPr="00FE36BE" w14:paraId="2590466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2420F4B" w14:textId="77777777" w:rsidR="00FE36BE" w:rsidRPr="00FE36BE" w:rsidRDefault="00FE36BE" w:rsidP="00D348AD">
            <w:pPr>
              <w:pStyle w:val="Para09"/>
              <w:rPr>
                <w:rFonts w:ascii="Candara" w:hAnsi="Candara"/>
                <w:sz w:val="18"/>
                <w:szCs w:val="18"/>
              </w:rPr>
            </w:pPr>
            <w:r w:rsidRPr="00FE36BE">
              <w:rPr>
                <w:rFonts w:ascii="Candara" w:hAnsi="Candara"/>
                <w:sz w:val="18"/>
                <w:szCs w:val="18"/>
              </w:rPr>
              <w:t>W., G., &amp; S. Hibbert</w:t>
            </w:r>
          </w:p>
        </w:tc>
        <w:tc>
          <w:tcPr>
            <w:tcW w:w="0" w:type="auto"/>
            <w:tcBorders>
              <w:top w:val="single" w:sz="3" w:space="0" w:color="auto"/>
              <w:left w:val="single" w:sz="3" w:space="0" w:color="auto"/>
              <w:bottom w:val="single" w:sz="3" w:space="0" w:color="auto"/>
              <w:right w:val="single" w:sz="3" w:space="0" w:color="auto"/>
            </w:tcBorders>
            <w:vAlign w:val="center"/>
          </w:tcPr>
          <w:p w14:paraId="2B518CA2" w14:textId="77777777" w:rsidR="00FE36BE" w:rsidRPr="00FE36BE" w:rsidRDefault="00FE36BE" w:rsidP="00D348AD">
            <w:pPr>
              <w:pStyle w:val="Para09"/>
              <w:rPr>
                <w:rFonts w:ascii="Candara" w:hAnsi="Candara"/>
                <w:sz w:val="18"/>
                <w:szCs w:val="18"/>
              </w:rPr>
            </w:pPr>
            <w:r w:rsidRPr="00FE36BE">
              <w:rPr>
                <w:rFonts w:ascii="Candara" w:hAnsi="Candara"/>
                <w:sz w:val="18"/>
                <w:szCs w:val="18"/>
              </w:rPr>
              <w:t>(Manchester)</w:t>
            </w:r>
          </w:p>
        </w:tc>
        <w:tc>
          <w:tcPr>
            <w:tcW w:w="0" w:type="auto"/>
            <w:tcBorders>
              <w:top w:val="single" w:sz="3" w:space="0" w:color="auto"/>
              <w:left w:val="single" w:sz="3" w:space="0" w:color="auto"/>
              <w:bottom w:val="single" w:sz="3" w:space="0" w:color="auto"/>
              <w:right w:val="single" w:sz="3" w:space="0" w:color="auto"/>
            </w:tcBorders>
            <w:vAlign w:val="center"/>
          </w:tcPr>
          <w:p w14:paraId="728CFB4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59,545</w:t>
            </w:r>
          </w:p>
        </w:tc>
      </w:tr>
      <w:tr w:rsidR="00FE36BE" w:rsidRPr="00FE36BE" w14:paraId="487739D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AEAC500" w14:textId="77777777" w:rsidR="00FE36BE" w:rsidRPr="00FE36BE" w:rsidRDefault="00FE36BE" w:rsidP="00D348AD">
            <w:pPr>
              <w:pStyle w:val="Para09"/>
              <w:rPr>
                <w:rFonts w:ascii="Candara" w:hAnsi="Candara"/>
                <w:sz w:val="18"/>
                <w:szCs w:val="18"/>
              </w:rPr>
            </w:pPr>
            <w:r w:rsidRPr="00FE36BE">
              <w:rPr>
                <w:rFonts w:ascii="Candara" w:hAnsi="Candara"/>
                <w:sz w:val="18"/>
                <w:szCs w:val="18"/>
              </w:rPr>
              <w:t>Judah &amp; Hannah Cohen</w:t>
            </w:r>
          </w:p>
        </w:tc>
        <w:tc>
          <w:tcPr>
            <w:tcW w:w="0" w:type="auto"/>
            <w:tcBorders>
              <w:top w:val="single" w:sz="3" w:space="0" w:color="auto"/>
              <w:left w:val="single" w:sz="3" w:space="0" w:color="auto"/>
              <w:bottom w:val="single" w:sz="3" w:space="0" w:color="auto"/>
              <w:right w:val="single" w:sz="3" w:space="0" w:color="auto"/>
            </w:tcBorders>
            <w:vAlign w:val="center"/>
          </w:tcPr>
          <w:p w14:paraId="0B945F1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56104015" w14:textId="77777777" w:rsidR="00FE36BE" w:rsidRPr="00FE36BE" w:rsidRDefault="00FE36BE" w:rsidP="00D348AD">
            <w:pPr>
              <w:pStyle w:val="Para09"/>
              <w:rPr>
                <w:rFonts w:ascii="Candara" w:hAnsi="Candara"/>
                <w:sz w:val="18"/>
                <w:szCs w:val="18"/>
              </w:rPr>
            </w:pPr>
            <w:r w:rsidRPr="00FE36BE">
              <w:rPr>
                <w:rFonts w:ascii="Candara" w:hAnsi="Candara"/>
                <w:sz w:val="18"/>
                <w:szCs w:val="18"/>
              </w:rPr>
              <w:t>38,247</w:t>
            </w:r>
          </w:p>
        </w:tc>
      </w:tr>
      <w:tr w:rsidR="00FE36BE" w:rsidRPr="00FE36BE" w14:paraId="3E194EFE"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20F319F8" w14:textId="77777777" w:rsidR="00FE36BE" w:rsidRPr="00FE36BE" w:rsidRDefault="00FE36BE" w:rsidP="00D348AD">
            <w:pPr>
              <w:pStyle w:val="Para09"/>
              <w:rPr>
                <w:rFonts w:ascii="Candara" w:hAnsi="Candara"/>
                <w:sz w:val="18"/>
                <w:szCs w:val="18"/>
              </w:rPr>
            </w:pPr>
            <w:r w:rsidRPr="00FE36BE">
              <w:rPr>
                <w:rFonts w:ascii="Candara" w:hAnsi="Candara"/>
                <w:sz w:val="18"/>
                <w:szCs w:val="18"/>
              </w:rPr>
              <w:t>Biddulph &amp; Cockerell</w:t>
            </w:r>
          </w:p>
        </w:tc>
        <w:tc>
          <w:tcPr>
            <w:tcW w:w="0" w:type="auto"/>
            <w:tcBorders>
              <w:top w:val="single" w:sz="3" w:space="0" w:color="auto"/>
              <w:left w:val="single" w:sz="3" w:space="0" w:color="auto"/>
              <w:bottom w:val="single" w:sz="3" w:space="0" w:color="auto"/>
              <w:right w:val="single" w:sz="3" w:space="0" w:color="auto"/>
            </w:tcBorders>
            <w:vAlign w:val="center"/>
          </w:tcPr>
          <w:p w14:paraId="2937F44B" w14:textId="77777777" w:rsidR="00FE36BE" w:rsidRPr="00FE36BE" w:rsidRDefault="00FE36BE" w:rsidP="00D348AD">
            <w:pPr>
              <w:pStyle w:val="Para09"/>
              <w:rPr>
                <w:rFonts w:ascii="Candara" w:hAnsi="Candara"/>
                <w:sz w:val="18"/>
                <w:szCs w:val="18"/>
              </w:rPr>
            </w:pPr>
            <w:r w:rsidRPr="00FE36BE">
              <w:rPr>
                <w:rFonts w:ascii="Candara" w:hAnsi="Candara"/>
                <w:sz w:val="18"/>
                <w:szCs w:val="18"/>
              </w:rPr>
              <w:t>–</w:t>
            </w:r>
          </w:p>
        </w:tc>
        <w:tc>
          <w:tcPr>
            <w:tcW w:w="0" w:type="auto"/>
            <w:tcBorders>
              <w:top w:val="single" w:sz="3" w:space="0" w:color="auto"/>
              <w:left w:val="single" w:sz="3" w:space="0" w:color="auto"/>
              <w:bottom w:val="single" w:sz="3" w:space="0" w:color="auto"/>
              <w:right w:val="single" w:sz="3" w:space="0" w:color="auto"/>
            </w:tcBorders>
            <w:vAlign w:val="center"/>
          </w:tcPr>
          <w:p w14:paraId="62A3B9B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36,260</w:t>
            </w:r>
          </w:p>
        </w:tc>
      </w:tr>
      <w:tr w:rsidR="00FE36BE" w:rsidRPr="00FE36BE" w14:paraId="141D5BC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BF83D1D" w14:textId="77777777" w:rsidR="00FE36BE" w:rsidRPr="00FE36BE" w:rsidRDefault="00FE36BE" w:rsidP="00D348AD">
            <w:pPr>
              <w:pStyle w:val="Para09"/>
              <w:rPr>
                <w:rFonts w:ascii="Candara" w:hAnsi="Candara"/>
                <w:sz w:val="18"/>
                <w:szCs w:val="18"/>
              </w:rPr>
            </w:pPr>
            <w:r w:rsidRPr="00FE36BE">
              <w:rPr>
                <w:rFonts w:ascii="Candara" w:hAnsi="Candara"/>
                <w:sz w:val="18"/>
                <w:szCs w:val="18"/>
              </w:rPr>
              <w:t>Timperon &amp; Dobinson</w:t>
            </w:r>
          </w:p>
        </w:tc>
        <w:tc>
          <w:tcPr>
            <w:tcW w:w="0" w:type="auto"/>
            <w:tcBorders>
              <w:top w:val="single" w:sz="3" w:space="0" w:color="auto"/>
              <w:left w:val="single" w:sz="3" w:space="0" w:color="auto"/>
              <w:bottom w:val="single" w:sz="3" w:space="0" w:color="auto"/>
              <w:right w:val="single" w:sz="3" w:space="0" w:color="auto"/>
            </w:tcBorders>
            <w:vAlign w:val="center"/>
          </w:tcPr>
          <w:p w14:paraId="2D4D6F62"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0EB6C12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35,441</w:t>
            </w:r>
          </w:p>
        </w:tc>
      </w:tr>
      <w:tr w:rsidR="00FE36BE" w:rsidRPr="00FE36BE" w14:paraId="5AEFE3A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5577E65" w14:textId="77777777" w:rsidR="00FE36BE" w:rsidRPr="00FE36BE" w:rsidRDefault="00FE36BE" w:rsidP="00D348AD">
            <w:pPr>
              <w:pStyle w:val="Para09"/>
              <w:rPr>
                <w:rFonts w:ascii="Candara" w:hAnsi="Candara"/>
                <w:sz w:val="18"/>
                <w:szCs w:val="18"/>
              </w:rPr>
            </w:pPr>
            <w:r w:rsidRPr="00FE36BE">
              <w:rPr>
                <w:rFonts w:ascii="Candara" w:hAnsi="Candara"/>
                <w:sz w:val="18"/>
                <w:szCs w:val="18"/>
              </w:rPr>
              <w:t>Currie, Pearse &amp; Tunno</w:t>
            </w:r>
          </w:p>
        </w:tc>
        <w:tc>
          <w:tcPr>
            <w:tcW w:w="0" w:type="auto"/>
            <w:tcBorders>
              <w:top w:val="single" w:sz="3" w:space="0" w:color="auto"/>
              <w:left w:val="single" w:sz="3" w:space="0" w:color="auto"/>
              <w:bottom w:val="single" w:sz="3" w:space="0" w:color="auto"/>
              <w:right w:val="single" w:sz="3" w:space="0" w:color="auto"/>
            </w:tcBorders>
            <w:vAlign w:val="center"/>
          </w:tcPr>
          <w:p w14:paraId="4898C800"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283D83A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35,406</w:t>
            </w:r>
          </w:p>
        </w:tc>
      </w:tr>
      <w:tr w:rsidR="00FE36BE" w:rsidRPr="00FE36BE" w14:paraId="6A5F52CD"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FFE270F" w14:textId="77777777" w:rsidR="00FE36BE" w:rsidRPr="00FE36BE" w:rsidRDefault="00FE36BE" w:rsidP="00D348AD">
            <w:pPr>
              <w:pStyle w:val="Para09"/>
              <w:rPr>
                <w:rFonts w:ascii="Candara" w:hAnsi="Candara"/>
                <w:sz w:val="18"/>
                <w:szCs w:val="18"/>
              </w:rPr>
            </w:pPr>
            <w:r w:rsidRPr="00FE36BE">
              <w:rPr>
                <w:rFonts w:ascii="Candara" w:hAnsi="Candara"/>
                <w:sz w:val="18"/>
                <w:szCs w:val="18"/>
              </w:rPr>
              <w:t>Davidson &amp; Barkly</w:t>
            </w:r>
          </w:p>
        </w:tc>
        <w:tc>
          <w:tcPr>
            <w:tcW w:w="0" w:type="auto"/>
            <w:tcBorders>
              <w:top w:val="single" w:sz="3" w:space="0" w:color="auto"/>
              <w:left w:val="single" w:sz="3" w:space="0" w:color="auto"/>
              <w:bottom w:val="single" w:sz="3" w:space="0" w:color="auto"/>
              <w:right w:val="single" w:sz="3" w:space="0" w:color="auto"/>
            </w:tcBorders>
            <w:vAlign w:val="center"/>
          </w:tcPr>
          <w:p w14:paraId="142D41AB"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273D0115" w14:textId="77777777" w:rsidR="00FE36BE" w:rsidRPr="00FE36BE" w:rsidRDefault="00FE36BE" w:rsidP="00D348AD">
            <w:pPr>
              <w:pStyle w:val="Para09"/>
              <w:rPr>
                <w:rFonts w:ascii="Candara" w:hAnsi="Candara"/>
                <w:sz w:val="18"/>
                <w:szCs w:val="18"/>
              </w:rPr>
            </w:pPr>
            <w:r w:rsidRPr="00FE36BE">
              <w:rPr>
                <w:rFonts w:ascii="Candara" w:hAnsi="Candara"/>
                <w:sz w:val="18"/>
                <w:szCs w:val="18"/>
              </w:rPr>
              <w:t>35,122</w:t>
            </w:r>
          </w:p>
        </w:tc>
      </w:tr>
      <w:tr w:rsidR="00FE36BE" w:rsidRPr="00FE36BE" w14:paraId="0A568E1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5F869F2" w14:textId="77777777" w:rsidR="00FE36BE" w:rsidRPr="00FE36BE" w:rsidRDefault="00FE36BE" w:rsidP="00D348AD">
            <w:pPr>
              <w:pStyle w:val="Para09"/>
              <w:rPr>
                <w:rFonts w:ascii="Candara" w:hAnsi="Candara"/>
                <w:sz w:val="18"/>
                <w:szCs w:val="18"/>
              </w:rPr>
            </w:pPr>
            <w:r w:rsidRPr="00FE36BE">
              <w:rPr>
                <w:rFonts w:ascii="Candara" w:hAnsi="Candara"/>
                <w:sz w:val="18"/>
                <w:szCs w:val="18"/>
              </w:rPr>
              <w:t>P.J. Miles</w:t>
            </w:r>
          </w:p>
        </w:tc>
        <w:tc>
          <w:tcPr>
            <w:tcW w:w="0" w:type="auto"/>
            <w:tcBorders>
              <w:top w:val="single" w:sz="3" w:space="0" w:color="auto"/>
              <w:left w:val="single" w:sz="3" w:space="0" w:color="auto"/>
              <w:bottom w:val="single" w:sz="3" w:space="0" w:color="auto"/>
              <w:right w:val="single" w:sz="3" w:space="0" w:color="auto"/>
            </w:tcBorders>
            <w:vAlign w:val="center"/>
          </w:tcPr>
          <w:p w14:paraId="06056333" w14:textId="77777777" w:rsidR="00FE36BE" w:rsidRPr="00FE36BE" w:rsidRDefault="00FE36BE" w:rsidP="00D348AD">
            <w:pPr>
              <w:pStyle w:val="Para09"/>
              <w:rPr>
                <w:rFonts w:ascii="Candara" w:hAnsi="Candara"/>
                <w:sz w:val="18"/>
                <w:szCs w:val="18"/>
              </w:rPr>
            </w:pPr>
            <w:r w:rsidRPr="00FE36BE">
              <w:rPr>
                <w:rFonts w:ascii="Candara" w:hAnsi="Candara"/>
                <w:sz w:val="18"/>
                <w:szCs w:val="18"/>
              </w:rPr>
              <w:t>(Bristol)</w:t>
            </w:r>
          </w:p>
        </w:tc>
        <w:tc>
          <w:tcPr>
            <w:tcW w:w="0" w:type="auto"/>
            <w:tcBorders>
              <w:top w:val="single" w:sz="3" w:space="0" w:color="auto"/>
              <w:left w:val="single" w:sz="3" w:space="0" w:color="auto"/>
              <w:bottom w:val="single" w:sz="3" w:space="0" w:color="auto"/>
              <w:right w:val="single" w:sz="3" w:space="0" w:color="auto"/>
            </w:tcBorders>
            <w:vAlign w:val="center"/>
          </w:tcPr>
          <w:p w14:paraId="17BB5FCA" w14:textId="77777777" w:rsidR="00FE36BE" w:rsidRPr="00FE36BE" w:rsidRDefault="00FE36BE" w:rsidP="00D348AD">
            <w:pPr>
              <w:pStyle w:val="Para09"/>
              <w:rPr>
                <w:rFonts w:ascii="Candara" w:hAnsi="Candara"/>
                <w:sz w:val="18"/>
                <w:szCs w:val="18"/>
              </w:rPr>
            </w:pPr>
            <w:r w:rsidRPr="00FE36BE">
              <w:rPr>
                <w:rFonts w:ascii="Candara" w:hAnsi="Candara"/>
                <w:sz w:val="18"/>
                <w:szCs w:val="18"/>
              </w:rPr>
              <w:t>28,188</w:t>
            </w:r>
          </w:p>
        </w:tc>
      </w:tr>
      <w:tr w:rsidR="00FE36BE" w:rsidRPr="00FE36BE" w14:paraId="30F15FF9"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594F92B" w14:textId="77777777" w:rsidR="00FE36BE" w:rsidRPr="00FE36BE" w:rsidRDefault="00FE36BE" w:rsidP="00D348AD">
            <w:pPr>
              <w:pStyle w:val="Para09"/>
              <w:rPr>
                <w:rFonts w:ascii="Candara" w:hAnsi="Candara"/>
                <w:sz w:val="18"/>
                <w:szCs w:val="18"/>
              </w:rPr>
            </w:pPr>
            <w:r w:rsidRPr="00FE36BE">
              <w:rPr>
                <w:rFonts w:ascii="Candara" w:hAnsi="Candara"/>
                <w:sz w:val="18"/>
                <w:szCs w:val="18"/>
              </w:rPr>
              <w:t>J.H. Deffell</w:t>
            </w:r>
          </w:p>
        </w:tc>
        <w:tc>
          <w:tcPr>
            <w:tcW w:w="0" w:type="auto"/>
            <w:tcBorders>
              <w:top w:val="single" w:sz="3" w:space="0" w:color="auto"/>
              <w:left w:val="single" w:sz="3" w:space="0" w:color="auto"/>
              <w:bottom w:val="single" w:sz="3" w:space="0" w:color="auto"/>
              <w:right w:val="single" w:sz="3" w:space="0" w:color="auto"/>
            </w:tcBorders>
            <w:vAlign w:val="center"/>
          </w:tcPr>
          <w:p w14:paraId="2F27BC0A" w14:textId="77777777" w:rsidR="00FE36BE" w:rsidRPr="00FE36BE" w:rsidRDefault="00FE36BE" w:rsidP="00D348AD">
            <w:pPr>
              <w:pStyle w:val="Para09"/>
              <w:rPr>
                <w:rFonts w:ascii="Candara" w:hAnsi="Candara"/>
                <w:sz w:val="18"/>
                <w:szCs w:val="18"/>
              </w:rPr>
            </w:pPr>
            <w:r w:rsidRPr="00FE36BE">
              <w:rPr>
                <w:rFonts w:ascii="Candara" w:hAnsi="Candara"/>
                <w:sz w:val="18"/>
                <w:szCs w:val="18"/>
              </w:rPr>
              <w:t>(Bristol)</w:t>
            </w:r>
          </w:p>
        </w:tc>
        <w:tc>
          <w:tcPr>
            <w:tcW w:w="0" w:type="auto"/>
            <w:tcBorders>
              <w:top w:val="single" w:sz="3" w:space="0" w:color="auto"/>
              <w:left w:val="single" w:sz="3" w:space="0" w:color="auto"/>
              <w:bottom w:val="single" w:sz="3" w:space="0" w:color="auto"/>
              <w:right w:val="single" w:sz="3" w:space="0" w:color="auto"/>
            </w:tcBorders>
            <w:vAlign w:val="center"/>
          </w:tcPr>
          <w:p w14:paraId="2265A82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26,804</w:t>
            </w:r>
          </w:p>
        </w:tc>
      </w:tr>
      <w:tr w:rsidR="00FE36BE" w:rsidRPr="00FE36BE" w14:paraId="3A9A6ABB"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6FBB1F1" w14:textId="77777777" w:rsidR="00FE36BE" w:rsidRPr="00FE36BE" w:rsidRDefault="00FE36BE" w:rsidP="00D348AD">
            <w:pPr>
              <w:pStyle w:val="Para09"/>
              <w:rPr>
                <w:rFonts w:ascii="Candara" w:hAnsi="Candara"/>
                <w:sz w:val="18"/>
                <w:szCs w:val="18"/>
              </w:rPr>
            </w:pPr>
            <w:r w:rsidRPr="00FE36BE">
              <w:rPr>
                <w:rFonts w:ascii="Candara" w:hAnsi="Candara"/>
                <w:sz w:val="18"/>
                <w:szCs w:val="18"/>
              </w:rPr>
              <w:t>T. &amp; M. Hartley</w:t>
            </w:r>
          </w:p>
        </w:tc>
        <w:tc>
          <w:tcPr>
            <w:tcW w:w="0" w:type="auto"/>
            <w:tcBorders>
              <w:top w:val="single" w:sz="3" w:space="0" w:color="auto"/>
              <w:left w:val="single" w:sz="3" w:space="0" w:color="auto"/>
              <w:bottom w:val="single" w:sz="3" w:space="0" w:color="auto"/>
              <w:right w:val="single" w:sz="3" w:space="0" w:color="auto"/>
            </w:tcBorders>
            <w:vAlign w:val="center"/>
          </w:tcPr>
          <w:p w14:paraId="70E64643" w14:textId="77777777" w:rsidR="00FE36BE" w:rsidRPr="00FE36BE" w:rsidRDefault="00FE36BE" w:rsidP="00D348AD">
            <w:pPr>
              <w:pStyle w:val="Para09"/>
              <w:rPr>
                <w:rFonts w:ascii="Candara" w:hAnsi="Candara"/>
                <w:sz w:val="18"/>
                <w:szCs w:val="18"/>
              </w:rPr>
            </w:pPr>
            <w:r w:rsidRPr="00FE36BE">
              <w:rPr>
                <w:rFonts w:ascii="Candara" w:hAnsi="Candara"/>
                <w:sz w:val="18"/>
                <w:szCs w:val="18"/>
              </w:rPr>
              <w:t>–</w:t>
            </w:r>
          </w:p>
        </w:tc>
        <w:tc>
          <w:tcPr>
            <w:tcW w:w="0" w:type="auto"/>
            <w:tcBorders>
              <w:top w:val="single" w:sz="3" w:space="0" w:color="auto"/>
              <w:left w:val="single" w:sz="3" w:space="0" w:color="auto"/>
              <w:bottom w:val="single" w:sz="3" w:space="0" w:color="auto"/>
              <w:right w:val="single" w:sz="3" w:space="0" w:color="auto"/>
            </w:tcBorders>
            <w:vAlign w:val="center"/>
          </w:tcPr>
          <w:p w14:paraId="4D225EC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23,385</w:t>
            </w:r>
          </w:p>
        </w:tc>
      </w:tr>
      <w:tr w:rsidR="00FE36BE" w:rsidRPr="00FE36BE" w14:paraId="0D7C913F"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0FD667E" w14:textId="77777777" w:rsidR="00FE36BE" w:rsidRPr="00FE36BE" w:rsidRDefault="00FE36BE" w:rsidP="00D348AD">
            <w:pPr>
              <w:pStyle w:val="Para09"/>
              <w:rPr>
                <w:rFonts w:ascii="Candara" w:hAnsi="Candara"/>
                <w:sz w:val="18"/>
                <w:szCs w:val="18"/>
              </w:rPr>
            </w:pPr>
            <w:r w:rsidRPr="00FE36BE">
              <w:rPr>
                <w:rFonts w:ascii="Candara" w:hAnsi="Candara"/>
                <w:sz w:val="18"/>
                <w:szCs w:val="18"/>
              </w:rPr>
              <w:t>Andrew Colville</w:t>
            </w:r>
          </w:p>
        </w:tc>
        <w:tc>
          <w:tcPr>
            <w:tcW w:w="0" w:type="auto"/>
            <w:tcBorders>
              <w:top w:val="single" w:sz="3" w:space="0" w:color="auto"/>
              <w:left w:val="single" w:sz="3" w:space="0" w:color="auto"/>
              <w:bottom w:val="single" w:sz="3" w:space="0" w:color="auto"/>
              <w:right w:val="single" w:sz="3" w:space="0" w:color="auto"/>
            </w:tcBorders>
            <w:vAlign w:val="center"/>
          </w:tcPr>
          <w:p w14:paraId="2451D275"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72038E72" w14:textId="77777777" w:rsidR="00FE36BE" w:rsidRPr="00FE36BE" w:rsidRDefault="00FE36BE" w:rsidP="00D348AD">
            <w:pPr>
              <w:pStyle w:val="Para09"/>
              <w:rPr>
                <w:rFonts w:ascii="Candara" w:hAnsi="Candara"/>
                <w:sz w:val="18"/>
                <w:szCs w:val="18"/>
              </w:rPr>
            </w:pPr>
            <w:r w:rsidRPr="00FE36BE">
              <w:rPr>
                <w:rFonts w:ascii="Candara" w:hAnsi="Candara"/>
                <w:sz w:val="18"/>
                <w:szCs w:val="18"/>
              </w:rPr>
              <w:t>20,830</w:t>
            </w:r>
          </w:p>
        </w:tc>
      </w:tr>
      <w:tr w:rsidR="00FE36BE" w:rsidRPr="00FE36BE" w14:paraId="4512EAD3"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7EDCCBAA" w14:textId="77777777" w:rsidR="00FE36BE" w:rsidRPr="00FE36BE" w:rsidRDefault="00FE36BE" w:rsidP="00D348AD">
            <w:pPr>
              <w:pStyle w:val="Para09"/>
              <w:rPr>
                <w:rFonts w:ascii="Candara" w:hAnsi="Candara"/>
                <w:sz w:val="18"/>
                <w:szCs w:val="18"/>
              </w:rPr>
            </w:pPr>
            <w:r w:rsidRPr="00FE36BE">
              <w:rPr>
                <w:rFonts w:ascii="Candara" w:hAnsi="Candara"/>
                <w:sz w:val="18"/>
                <w:szCs w:val="18"/>
              </w:rPr>
              <w:t>John Gladstone</w:t>
            </w:r>
          </w:p>
        </w:tc>
        <w:tc>
          <w:tcPr>
            <w:tcW w:w="0" w:type="auto"/>
            <w:tcBorders>
              <w:top w:val="single" w:sz="3" w:space="0" w:color="auto"/>
              <w:left w:val="single" w:sz="3" w:space="0" w:color="auto"/>
              <w:bottom w:val="single" w:sz="3" w:space="0" w:color="auto"/>
              <w:right w:val="single" w:sz="3" w:space="0" w:color="auto"/>
            </w:tcBorders>
            <w:vAlign w:val="center"/>
          </w:tcPr>
          <w:p w14:paraId="777E3848"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(Liverpool)</w:t>
            </w:r>
          </w:p>
        </w:tc>
        <w:tc>
          <w:tcPr>
            <w:tcW w:w="0" w:type="auto"/>
            <w:tcBorders>
              <w:top w:val="single" w:sz="3" w:space="0" w:color="auto"/>
              <w:left w:val="single" w:sz="3" w:space="0" w:color="auto"/>
              <w:bottom w:val="single" w:sz="3" w:space="0" w:color="auto"/>
              <w:right w:val="single" w:sz="3" w:space="0" w:color="auto"/>
            </w:tcBorders>
            <w:vAlign w:val="center"/>
          </w:tcPr>
          <w:p w14:paraId="4042285A"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19,605</w:t>
            </w:r>
          </w:p>
        </w:tc>
      </w:tr>
      <w:tr w:rsidR="00FE36BE" w:rsidRPr="00FE36BE" w14:paraId="48EF2B10"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1C76A3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Sir John Rae Reid</w:t>
            </w:r>
          </w:p>
        </w:tc>
        <w:tc>
          <w:tcPr>
            <w:tcW w:w="0" w:type="auto"/>
            <w:tcBorders>
              <w:top w:val="single" w:sz="3" w:space="0" w:color="auto"/>
              <w:left w:val="single" w:sz="3" w:space="0" w:color="auto"/>
              <w:bottom w:val="single" w:sz="3" w:space="0" w:color="auto"/>
              <w:right w:val="single" w:sz="3" w:space="0" w:color="auto"/>
            </w:tcBorders>
            <w:vAlign w:val="center"/>
          </w:tcPr>
          <w:p w14:paraId="5A434182"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6134FD88"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19,400</w:t>
            </w:r>
          </w:p>
        </w:tc>
      </w:tr>
      <w:tr w:rsidR="00FE36BE" w:rsidRPr="00FE36BE" w14:paraId="4DB2CDB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A53EACB" w14:textId="77777777" w:rsidR="00FE36BE" w:rsidRPr="00FE36BE" w:rsidRDefault="00FE36BE" w:rsidP="00D348AD">
            <w:pPr>
              <w:pStyle w:val="Para09"/>
              <w:rPr>
                <w:rFonts w:ascii="Candara" w:hAnsi="Candara"/>
                <w:sz w:val="18"/>
                <w:szCs w:val="18"/>
              </w:rPr>
            </w:pPr>
            <w:r w:rsidRPr="00FE36BE">
              <w:rPr>
                <w:rFonts w:ascii="Candara" w:hAnsi="Candara"/>
                <w:sz w:val="18"/>
                <w:szCs w:val="18"/>
              </w:rPr>
              <w:t>Stewart &amp; Westmoreland</w:t>
            </w:r>
          </w:p>
        </w:tc>
        <w:tc>
          <w:tcPr>
            <w:tcW w:w="0" w:type="auto"/>
            <w:tcBorders>
              <w:top w:val="single" w:sz="3" w:space="0" w:color="auto"/>
              <w:left w:val="single" w:sz="3" w:space="0" w:color="auto"/>
              <w:bottom w:val="single" w:sz="3" w:space="0" w:color="auto"/>
              <w:right w:val="single" w:sz="3" w:space="0" w:color="auto"/>
            </w:tcBorders>
            <w:vAlign w:val="center"/>
          </w:tcPr>
          <w:p w14:paraId="2063296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1737AB49"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17,361</w:t>
            </w:r>
          </w:p>
        </w:tc>
      </w:tr>
      <w:tr w:rsidR="00FE36BE" w:rsidRPr="00FE36BE" w14:paraId="76F267A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F8A8FD0" w14:textId="77777777" w:rsidR="00FE36BE" w:rsidRPr="00FE36BE" w:rsidRDefault="00FE36BE" w:rsidP="00D348AD">
            <w:pPr>
              <w:pStyle w:val="Para09"/>
              <w:rPr>
                <w:rFonts w:ascii="Candara" w:hAnsi="Candara"/>
                <w:sz w:val="18"/>
                <w:szCs w:val="18"/>
              </w:rPr>
            </w:pPr>
            <w:r w:rsidRPr="00FE36BE">
              <w:rPr>
                <w:rFonts w:ascii="Candara" w:hAnsi="Candara"/>
                <w:sz w:val="18"/>
                <w:szCs w:val="18"/>
              </w:rPr>
              <w:t>Hawthorne &amp; Sheddon</w:t>
            </w:r>
          </w:p>
        </w:tc>
        <w:tc>
          <w:tcPr>
            <w:tcW w:w="0" w:type="auto"/>
            <w:tcBorders>
              <w:top w:val="single" w:sz="3" w:space="0" w:color="auto"/>
              <w:left w:val="single" w:sz="3" w:space="0" w:color="auto"/>
              <w:bottom w:val="single" w:sz="3" w:space="0" w:color="auto"/>
              <w:right w:val="single" w:sz="3" w:space="0" w:color="auto"/>
            </w:tcBorders>
            <w:vAlign w:val="center"/>
          </w:tcPr>
          <w:p w14:paraId="61BC107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06D00F9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15,520</w:t>
            </w:r>
          </w:p>
        </w:tc>
      </w:tr>
      <w:tr w:rsidR="00FE36BE" w:rsidRPr="00FE36BE" w14:paraId="55D055C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C7F1EB3" w14:textId="77777777" w:rsidR="00FE36BE" w:rsidRPr="00FE36BE" w:rsidRDefault="00FE36BE" w:rsidP="00D348AD">
            <w:pPr>
              <w:pStyle w:val="Para09"/>
              <w:rPr>
                <w:rFonts w:ascii="Candara" w:hAnsi="Candara"/>
                <w:sz w:val="18"/>
                <w:szCs w:val="18"/>
              </w:rPr>
            </w:pPr>
            <w:r w:rsidRPr="00FE36BE">
              <w:rPr>
                <w:rFonts w:ascii="Candara" w:hAnsi="Candara"/>
                <w:sz w:val="18"/>
                <w:szCs w:val="18"/>
              </w:rPr>
              <w:t>Purrier &amp; Purrier</w:t>
            </w:r>
          </w:p>
        </w:tc>
        <w:tc>
          <w:tcPr>
            <w:tcW w:w="0" w:type="auto"/>
            <w:tcBorders>
              <w:top w:val="single" w:sz="3" w:space="0" w:color="auto"/>
              <w:left w:val="single" w:sz="3" w:space="0" w:color="auto"/>
              <w:bottom w:val="single" w:sz="3" w:space="0" w:color="auto"/>
              <w:right w:val="single" w:sz="3" w:space="0" w:color="auto"/>
            </w:tcBorders>
            <w:vAlign w:val="center"/>
          </w:tcPr>
          <w:p w14:paraId="43C9994F"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280B5533"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15,211</w:t>
            </w:r>
          </w:p>
        </w:tc>
      </w:tr>
      <w:tr w:rsidR="00FE36BE" w:rsidRPr="00FE36BE" w14:paraId="20254D36"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4777B60" w14:textId="77777777" w:rsidR="00FE36BE" w:rsidRPr="00FE36BE" w:rsidRDefault="00FE36BE" w:rsidP="00D348AD">
            <w:pPr>
              <w:pStyle w:val="Para09"/>
              <w:rPr>
                <w:rFonts w:ascii="Candara" w:hAnsi="Candara"/>
                <w:sz w:val="18"/>
                <w:szCs w:val="18"/>
              </w:rPr>
            </w:pPr>
            <w:r w:rsidRPr="00FE36BE">
              <w:rPr>
                <w:rFonts w:ascii="Candara" w:hAnsi="Candara"/>
                <w:sz w:val="18"/>
                <w:szCs w:val="18"/>
              </w:rPr>
              <w:t>Jeagan &amp; Rutherford</w:t>
            </w:r>
          </w:p>
        </w:tc>
        <w:tc>
          <w:tcPr>
            <w:tcW w:w="0" w:type="auto"/>
            <w:tcBorders>
              <w:top w:val="single" w:sz="3" w:space="0" w:color="auto"/>
              <w:left w:val="single" w:sz="3" w:space="0" w:color="auto"/>
              <w:bottom w:val="single" w:sz="3" w:space="0" w:color="auto"/>
              <w:right w:val="single" w:sz="3" w:space="0" w:color="auto"/>
            </w:tcBorders>
            <w:vAlign w:val="center"/>
          </w:tcPr>
          <w:p w14:paraId="66C4E1A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2A126E7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13,227</w:t>
            </w:r>
          </w:p>
        </w:tc>
      </w:tr>
      <w:tr w:rsidR="00FE36BE" w:rsidRPr="00FE36BE" w14:paraId="11C9286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20FD301" w14:textId="77777777" w:rsidR="00FE36BE" w:rsidRPr="00FE36BE" w:rsidRDefault="00FE36BE" w:rsidP="00D348AD">
            <w:pPr>
              <w:pStyle w:val="Para09"/>
              <w:rPr>
                <w:rFonts w:ascii="Candara" w:hAnsi="Candara"/>
                <w:sz w:val="18"/>
                <w:szCs w:val="18"/>
              </w:rPr>
            </w:pPr>
            <w:r w:rsidRPr="00FE36BE">
              <w:rPr>
                <w:rFonts w:ascii="Candara" w:hAnsi="Candara"/>
                <w:sz w:val="18"/>
                <w:szCs w:val="18"/>
              </w:rPr>
              <w:t>Dickenson &amp; Harmon</w:t>
            </w:r>
          </w:p>
        </w:tc>
        <w:tc>
          <w:tcPr>
            <w:tcW w:w="0" w:type="auto"/>
            <w:tcBorders>
              <w:top w:val="single" w:sz="3" w:space="0" w:color="auto"/>
              <w:left w:val="single" w:sz="3" w:space="0" w:color="auto"/>
              <w:bottom w:val="single" w:sz="3" w:space="0" w:color="auto"/>
              <w:right w:val="single" w:sz="3" w:space="0" w:color="auto"/>
            </w:tcBorders>
            <w:vAlign w:val="center"/>
          </w:tcPr>
          <w:p w14:paraId="441EA4A8" w14:textId="77777777" w:rsidR="00FE36BE" w:rsidRPr="00FE36BE" w:rsidRDefault="00FE36BE" w:rsidP="00D348AD">
            <w:pPr>
              <w:pStyle w:val="Para09"/>
              <w:rPr>
                <w:rFonts w:ascii="Candara" w:hAnsi="Candara"/>
                <w:sz w:val="18"/>
                <w:szCs w:val="18"/>
              </w:rPr>
            </w:pPr>
            <w:r w:rsidRPr="00FE36BE">
              <w:rPr>
                <w:rFonts w:ascii="Candara" w:hAnsi="Candara"/>
                <w:sz w:val="18"/>
                <w:szCs w:val="18"/>
              </w:rPr>
              <w:t>–</w:t>
            </w:r>
          </w:p>
        </w:tc>
        <w:tc>
          <w:tcPr>
            <w:tcW w:w="0" w:type="auto"/>
            <w:tcBorders>
              <w:top w:val="single" w:sz="3" w:space="0" w:color="auto"/>
              <w:left w:val="single" w:sz="3" w:space="0" w:color="auto"/>
              <w:bottom w:val="single" w:sz="3" w:space="0" w:color="auto"/>
              <w:right w:val="single" w:sz="3" w:space="0" w:color="auto"/>
            </w:tcBorders>
            <w:vAlign w:val="center"/>
          </w:tcPr>
          <w:p w14:paraId="669F8BF5"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11,978</w:t>
            </w:r>
          </w:p>
        </w:tc>
      </w:tr>
      <w:tr w:rsidR="00FE36BE" w:rsidRPr="00FE36BE" w14:paraId="2FF0F6F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6D2078B8" w14:textId="77777777" w:rsidR="00FE36BE" w:rsidRPr="00FE36BE" w:rsidRDefault="00FE36BE" w:rsidP="00D348AD">
            <w:pPr>
              <w:pStyle w:val="Para09"/>
              <w:rPr>
                <w:rFonts w:ascii="Candara" w:hAnsi="Candara"/>
                <w:sz w:val="18"/>
                <w:szCs w:val="18"/>
              </w:rPr>
            </w:pPr>
            <w:r w:rsidRPr="00FE36BE">
              <w:rPr>
                <w:rFonts w:ascii="Candara" w:hAnsi="Candara"/>
                <w:sz w:val="18"/>
                <w:szCs w:val="18"/>
              </w:rPr>
              <w:t>Sir Alexander Grant</w:t>
            </w:r>
          </w:p>
        </w:tc>
        <w:tc>
          <w:tcPr>
            <w:tcW w:w="0" w:type="auto"/>
            <w:tcBorders>
              <w:top w:val="single" w:sz="3" w:space="0" w:color="auto"/>
              <w:left w:val="single" w:sz="3" w:space="0" w:color="auto"/>
              <w:bottom w:val="single" w:sz="3" w:space="0" w:color="auto"/>
              <w:right w:val="single" w:sz="3" w:space="0" w:color="auto"/>
            </w:tcBorders>
            <w:vAlign w:val="center"/>
          </w:tcPr>
          <w:p w14:paraId="11C4219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2C4A0D67"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11,709</w:t>
            </w:r>
          </w:p>
        </w:tc>
      </w:tr>
      <w:tr w:rsidR="00FE36BE" w:rsidRPr="00FE36BE" w14:paraId="6C60ABDC"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4A3E632D" w14:textId="77777777" w:rsidR="00FE36BE" w:rsidRPr="00FE36BE" w:rsidRDefault="00FE36BE" w:rsidP="00D348AD">
            <w:pPr>
              <w:pStyle w:val="Para09"/>
              <w:rPr>
                <w:rFonts w:ascii="Candara" w:hAnsi="Candara"/>
                <w:sz w:val="18"/>
                <w:szCs w:val="18"/>
              </w:rPr>
            </w:pPr>
            <w:r w:rsidRPr="00FE36BE">
              <w:rPr>
                <w:rFonts w:ascii="Candara" w:hAnsi="Candara"/>
                <w:sz w:val="18"/>
                <w:szCs w:val="18"/>
              </w:rPr>
              <w:t>S. Boddington</w:t>
            </w:r>
          </w:p>
        </w:tc>
        <w:tc>
          <w:tcPr>
            <w:tcW w:w="0" w:type="auto"/>
            <w:tcBorders>
              <w:top w:val="single" w:sz="3" w:space="0" w:color="auto"/>
              <w:left w:val="single" w:sz="3" w:space="0" w:color="auto"/>
              <w:bottom w:val="single" w:sz="3" w:space="0" w:color="auto"/>
              <w:right w:val="single" w:sz="3" w:space="0" w:color="auto"/>
            </w:tcBorders>
            <w:vAlign w:val="center"/>
          </w:tcPr>
          <w:p w14:paraId="566F973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12088846" w14:textId="77777777" w:rsidR="00FE36BE" w:rsidRPr="00FE36BE" w:rsidRDefault="00FE36BE" w:rsidP="00D348AD">
            <w:pPr>
              <w:pStyle w:val="Para09"/>
              <w:rPr>
                <w:rFonts w:ascii="Candara" w:hAnsi="Candara"/>
                <w:sz w:val="18"/>
                <w:szCs w:val="18"/>
              </w:rPr>
            </w:pPr>
            <w:r w:rsidRPr="00FE36BE">
              <w:rPr>
                <w:rFonts w:ascii="Candara" w:hAnsi="Candara"/>
                <w:sz w:val="18"/>
                <w:szCs w:val="18"/>
              </w:rPr>
              <w:t>10,413</w:t>
            </w:r>
          </w:p>
        </w:tc>
      </w:tr>
      <w:tr w:rsidR="00FE36BE" w:rsidRPr="00FE36BE" w14:paraId="44F1BE5A"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53AE0D3C" w14:textId="77777777" w:rsidR="00FE36BE" w:rsidRPr="00FE36BE" w:rsidRDefault="00FE36BE" w:rsidP="00D348AD">
            <w:pPr>
              <w:pStyle w:val="Para09"/>
              <w:rPr>
                <w:rFonts w:ascii="Candara" w:hAnsi="Candara"/>
                <w:sz w:val="18"/>
                <w:szCs w:val="18"/>
              </w:rPr>
            </w:pPr>
            <w:r w:rsidRPr="00FE36BE">
              <w:rPr>
                <w:rFonts w:ascii="Candara" w:hAnsi="Candara"/>
                <w:sz w:val="18"/>
                <w:szCs w:val="18"/>
              </w:rPr>
              <w:t>Baker &amp; Phillpotts</w:t>
            </w:r>
          </w:p>
        </w:tc>
        <w:tc>
          <w:tcPr>
            <w:tcW w:w="0" w:type="auto"/>
            <w:tcBorders>
              <w:top w:val="single" w:sz="3" w:space="0" w:color="auto"/>
              <w:left w:val="single" w:sz="3" w:space="0" w:color="auto"/>
              <w:bottom w:val="single" w:sz="3" w:space="0" w:color="auto"/>
              <w:right w:val="single" w:sz="3" w:space="0" w:color="auto"/>
            </w:tcBorders>
            <w:vAlign w:val="center"/>
          </w:tcPr>
          <w:p w14:paraId="573E8971"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(London)</w:t>
            </w:r>
          </w:p>
        </w:tc>
        <w:tc>
          <w:tcPr>
            <w:tcW w:w="0" w:type="auto"/>
            <w:tcBorders>
              <w:top w:val="single" w:sz="3" w:space="0" w:color="auto"/>
              <w:left w:val="single" w:sz="3" w:space="0" w:color="auto"/>
              <w:bottom w:val="single" w:sz="3" w:space="0" w:color="auto"/>
              <w:right w:val="single" w:sz="3" w:space="0" w:color="auto"/>
            </w:tcBorders>
            <w:vAlign w:val="center"/>
          </w:tcPr>
          <w:p w14:paraId="152B9B4E" w14:textId="77777777" w:rsidR="00FE36BE" w:rsidRPr="00FE36BE" w:rsidRDefault="00FE36BE" w:rsidP="00D348AD">
            <w:pPr>
              <w:pStyle w:val="Para09"/>
              <w:rPr>
                <w:rFonts w:ascii="Candara" w:hAnsi="Candara"/>
                <w:sz w:val="18"/>
                <w:szCs w:val="18"/>
              </w:rPr>
            </w:pPr>
            <w:r w:rsidRPr="00FE36BE">
              <w:rPr>
                <w:rFonts w:ascii="Candara" w:hAnsi="Candara"/>
                <w:sz w:val="18"/>
                <w:szCs w:val="18"/>
              </w:rPr>
              <w:t>7,990</w:t>
            </w:r>
          </w:p>
        </w:tc>
      </w:tr>
      <w:tr w:rsidR="00FE36BE" w:rsidRPr="00FE36BE" w14:paraId="675A8955"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9205352" w14:textId="77777777" w:rsidR="00FE36BE" w:rsidRPr="00FE36BE" w:rsidRDefault="00FE36BE" w:rsidP="00D348AD">
            <w:pPr>
              <w:pStyle w:val="Para09"/>
              <w:rPr>
                <w:rFonts w:ascii="Candara" w:hAnsi="Candara"/>
                <w:sz w:val="18"/>
                <w:szCs w:val="18"/>
              </w:rPr>
            </w:pPr>
            <w:r w:rsidRPr="00FE36BE">
              <w:rPr>
                <w:rFonts w:ascii="Candara" w:hAnsi="Candara"/>
                <w:sz w:val="18"/>
                <w:szCs w:val="18"/>
              </w:rPr>
              <w:lastRenderedPageBreak/>
              <w:t>Barrow &amp; Lousada</w:t>
            </w:r>
          </w:p>
        </w:tc>
        <w:tc>
          <w:tcPr>
            <w:tcW w:w="0" w:type="auto"/>
            <w:tcBorders>
              <w:top w:val="single" w:sz="3" w:space="0" w:color="auto"/>
              <w:left w:val="single" w:sz="3" w:space="0" w:color="auto"/>
              <w:bottom w:val="single" w:sz="3" w:space="0" w:color="auto"/>
              <w:right w:val="single" w:sz="3" w:space="0" w:color="auto"/>
            </w:tcBorders>
            <w:vAlign w:val="center"/>
          </w:tcPr>
          <w:p w14:paraId="38293559" w14:textId="77777777" w:rsidR="00FE36BE" w:rsidRPr="00FE36BE" w:rsidRDefault="00FE36BE" w:rsidP="00D348AD">
            <w:pPr>
              <w:pStyle w:val="Para09"/>
              <w:rPr>
                <w:rFonts w:ascii="Candara" w:hAnsi="Candara"/>
                <w:sz w:val="18"/>
                <w:szCs w:val="18"/>
              </w:rPr>
            </w:pPr>
            <w:r w:rsidRPr="00FE36BE">
              <w:rPr>
                <w:rFonts w:ascii="Candara" w:hAnsi="Candara"/>
                <w:sz w:val="18"/>
                <w:szCs w:val="18"/>
              </w:rPr>
              <w:t>–</w:t>
            </w:r>
          </w:p>
        </w:tc>
        <w:tc>
          <w:tcPr>
            <w:tcW w:w="0" w:type="auto"/>
            <w:tcBorders>
              <w:top w:val="single" w:sz="3" w:space="0" w:color="auto"/>
              <w:left w:val="single" w:sz="3" w:space="0" w:color="auto"/>
              <w:bottom w:val="single" w:sz="3" w:space="0" w:color="auto"/>
              <w:right w:val="single" w:sz="3" w:space="0" w:color="auto"/>
            </w:tcBorders>
            <w:vAlign w:val="center"/>
          </w:tcPr>
          <w:p w14:paraId="1FF078E4" w14:textId="77777777" w:rsidR="00FE36BE" w:rsidRPr="00FE36BE" w:rsidRDefault="00FE36BE" w:rsidP="00D348AD">
            <w:pPr>
              <w:pStyle w:val="Para09"/>
              <w:rPr>
                <w:rFonts w:ascii="Candara" w:hAnsi="Candara"/>
                <w:sz w:val="18"/>
                <w:szCs w:val="18"/>
              </w:rPr>
            </w:pPr>
            <w:r w:rsidRPr="00FE36BE">
              <w:rPr>
                <w:rFonts w:ascii="Candara" w:hAnsi="Candara"/>
                <w:sz w:val="18"/>
                <w:szCs w:val="18"/>
              </w:rPr>
              <w:t>6,370</w:t>
            </w:r>
          </w:p>
        </w:tc>
      </w:tr>
      <w:tr w:rsidR="00FE36BE" w:rsidRPr="00FE36BE" w14:paraId="3B1DF641"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17537F29" w14:textId="77777777" w:rsidR="00FE36BE" w:rsidRPr="00FE36BE" w:rsidRDefault="00FE36BE" w:rsidP="00D348AD">
            <w:pPr>
              <w:pStyle w:val="Para09"/>
              <w:rPr>
                <w:rFonts w:ascii="Candara" w:hAnsi="Candara"/>
                <w:sz w:val="18"/>
                <w:szCs w:val="18"/>
              </w:rPr>
            </w:pPr>
            <w:r w:rsidRPr="00FE36BE">
              <w:rPr>
                <w:rFonts w:ascii="Candara" w:hAnsi="Candara"/>
                <w:sz w:val="18"/>
                <w:szCs w:val="18"/>
              </w:rPr>
              <w:t>Charles Horsfall</w:t>
            </w:r>
          </w:p>
        </w:tc>
        <w:tc>
          <w:tcPr>
            <w:tcW w:w="0" w:type="auto"/>
            <w:tcBorders>
              <w:top w:val="single" w:sz="3" w:space="0" w:color="auto"/>
              <w:left w:val="single" w:sz="3" w:space="0" w:color="auto"/>
              <w:bottom w:val="single" w:sz="3" w:space="0" w:color="auto"/>
              <w:right w:val="single" w:sz="3" w:space="0" w:color="auto"/>
            </w:tcBorders>
            <w:vAlign w:val="center"/>
          </w:tcPr>
          <w:p w14:paraId="79421657" w14:textId="77777777" w:rsidR="00FE36BE" w:rsidRPr="00FE36BE" w:rsidRDefault="00FE36BE" w:rsidP="00D348AD">
            <w:pPr>
              <w:pStyle w:val="Para09"/>
              <w:rPr>
                <w:rFonts w:ascii="Candara" w:hAnsi="Candara"/>
                <w:sz w:val="18"/>
                <w:szCs w:val="18"/>
              </w:rPr>
            </w:pPr>
            <w:r w:rsidRPr="00FE36BE">
              <w:rPr>
                <w:rFonts w:ascii="Candara" w:hAnsi="Candara"/>
                <w:sz w:val="18"/>
                <w:szCs w:val="18"/>
              </w:rPr>
              <w:t>(Liverpool)</w:t>
            </w:r>
          </w:p>
        </w:tc>
        <w:tc>
          <w:tcPr>
            <w:tcW w:w="0" w:type="auto"/>
            <w:tcBorders>
              <w:top w:val="single" w:sz="3" w:space="0" w:color="auto"/>
              <w:left w:val="single" w:sz="3" w:space="0" w:color="auto"/>
              <w:bottom w:val="single" w:sz="3" w:space="0" w:color="auto"/>
              <w:right w:val="single" w:sz="3" w:space="0" w:color="auto"/>
            </w:tcBorders>
            <w:vAlign w:val="center"/>
          </w:tcPr>
          <w:p w14:paraId="77600EA0" w14:textId="77777777" w:rsidR="00FE36BE" w:rsidRPr="00FE36BE" w:rsidRDefault="00FE36BE" w:rsidP="00D348AD">
            <w:pPr>
              <w:pStyle w:val="Para09"/>
              <w:rPr>
                <w:rFonts w:ascii="Candara" w:hAnsi="Candara"/>
                <w:sz w:val="18"/>
                <w:szCs w:val="18"/>
              </w:rPr>
            </w:pPr>
            <w:r w:rsidRPr="00FE36BE">
              <w:rPr>
                <w:rFonts w:ascii="Candara" w:hAnsi="Candara"/>
                <w:sz w:val="18"/>
                <w:szCs w:val="18"/>
              </w:rPr>
              <w:t>5,196</w:t>
            </w:r>
          </w:p>
        </w:tc>
      </w:tr>
      <w:tr w:rsidR="00FE36BE" w:rsidRPr="00FE36BE" w14:paraId="1198FB12"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077CE546" w14:textId="77777777" w:rsidR="00FE36BE" w:rsidRPr="00FE36BE" w:rsidRDefault="00FE36BE" w:rsidP="00D348AD">
            <w:pPr>
              <w:pStyle w:val="Para09"/>
              <w:rPr>
                <w:rFonts w:ascii="Candara" w:hAnsi="Candara"/>
                <w:sz w:val="18"/>
                <w:szCs w:val="18"/>
              </w:rPr>
            </w:pPr>
            <w:r w:rsidRPr="00FE36BE">
              <w:rPr>
                <w:rFonts w:ascii="Candara" w:hAnsi="Candara"/>
                <w:sz w:val="18"/>
                <w:szCs w:val="18"/>
              </w:rPr>
              <w:t>Pitcairn &amp; Amos</w:t>
            </w:r>
          </w:p>
        </w:tc>
        <w:tc>
          <w:tcPr>
            <w:tcW w:w="0" w:type="auto"/>
            <w:tcBorders>
              <w:top w:val="single" w:sz="3" w:space="0" w:color="auto"/>
              <w:left w:val="single" w:sz="3" w:space="0" w:color="auto"/>
              <w:bottom w:val="single" w:sz="3" w:space="0" w:color="auto"/>
              <w:right w:val="single" w:sz="3" w:space="0" w:color="auto"/>
            </w:tcBorders>
            <w:vAlign w:val="center"/>
          </w:tcPr>
          <w:p w14:paraId="5D7450BF" w14:textId="77777777" w:rsidR="00FE36BE" w:rsidRPr="00FE36BE" w:rsidRDefault="00FE36BE" w:rsidP="00D348AD">
            <w:pPr>
              <w:pStyle w:val="Para09"/>
              <w:rPr>
                <w:rFonts w:ascii="Candara" w:hAnsi="Candara"/>
                <w:sz w:val="18"/>
                <w:szCs w:val="18"/>
              </w:rPr>
            </w:pPr>
            <w:r w:rsidRPr="00FE36BE">
              <w:rPr>
                <w:rFonts w:ascii="Candara" w:hAnsi="Candara"/>
                <w:sz w:val="18"/>
                <w:szCs w:val="18"/>
              </w:rPr>
              <w:t>(Yarmouth)</w:t>
            </w:r>
          </w:p>
        </w:tc>
        <w:tc>
          <w:tcPr>
            <w:tcW w:w="0" w:type="auto"/>
            <w:tcBorders>
              <w:top w:val="single" w:sz="3" w:space="0" w:color="auto"/>
              <w:left w:val="single" w:sz="3" w:space="0" w:color="auto"/>
              <w:bottom w:val="single" w:sz="3" w:space="0" w:color="auto"/>
              <w:right w:val="single" w:sz="3" w:space="0" w:color="auto"/>
            </w:tcBorders>
            <w:vAlign w:val="center"/>
          </w:tcPr>
          <w:p w14:paraId="524A9091" w14:textId="77777777" w:rsidR="00FE36BE" w:rsidRPr="00FE36BE" w:rsidRDefault="00FE36BE" w:rsidP="00D348AD">
            <w:pPr>
              <w:pStyle w:val="Para09"/>
              <w:rPr>
                <w:rFonts w:ascii="Candara" w:hAnsi="Candara"/>
                <w:sz w:val="18"/>
                <w:szCs w:val="18"/>
              </w:rPr>
            </w:pPr>
            <w:r w:rsidRPr="00FE36BE">
              <w:rPr>
                <w:rFonts w:ascii="Candara" w:hAnsi="Candara"/>
                <w:sz w:val="18"/>
                <w:szCs w:val="18"/>
              </w:rPr>
              <w:t>6,806</w:t>
            </w:r>
          </w:p>
        </w:tc>
      </w:tr>
      <w:tr w:rsidR="00FE36BE" w:rsidRPr="00FE36BE" w14:paraId="7FB53487" w14:textId="77777777" w:rsidTr="00D348AD">
        <w:tblPrEx>
          <w:tblCellMar>
            <w:top w:w="0" w:type="dxa"/>
            <w:bottom w:w="0" w:type="dxa"/>
          </w:tblCellMar>
        </w:tblPrEx>
        <w:tc>
          <w:tcPr>
            <w:tcW w:w="0" w:type="auto"/>
            <w:tcBorders>
              <w:top w:val="single" w:sz="3" w:space="0" w:color="auto"/>
              <w:left w:val="single" w:sz="3" w:space="0" w:color="auto"/>
              <w:bottom w:val="single" w:sz="3" w:space="0" w:color="auto"/>
              <w:right w:val="single" w:sz="3" w:space="0" w:color="auto"/>
            </w:tcBorders>
            <w:vAlign w:val="center"/>
          </w:tcPr>
          <w:p w14:paraId="34E4A6B3" w14:textId="77777777" w:rsidR="00FE36BE" w:rsidRPr="00FE36BE" w:rsidRDefault="00FE36BE" w:rsidP="00D348AD">
            <w:pPr>
              <w:pStyle w:val="Para09"/>
              <w:rPr>
                <w:rFonts w:ascii="Candara" w:hAnsi="Candara"/>
                <w:sz w:val="18"/>
                <w:szCs w:val="18"/>
              </w:rPr>
            </w:pPr>
            <w:r w:rsidRPr="00FE36BE">
              <w:rPr>
                <w:rFonts w:ascii="Candara" w:hAnsi="Candara"/>
                <w:sz w:val="18"/>
                <w:szCs w:val="18"/>
              </w:rPr>
              <w:t>Total</w:t>
            </w:r>
          </w:p>
        </w:tc>
        <w:tc>
          <w:tcPr>
            <w:tcW w:w="0" w:type="auto"/>
            <w:tcBorders>
              <w:top w:val="single" w:sz="3" w:space="0" w:color="auto"/>
              <w:left w:val="single" w:sz="3" w:space="0" w:color="auto"/>
              <w:bottom w:val="single" w:sz="3" w:space="0" w:color="auto"/>
              <w:right w:val="single" w:sz="3" w:space="0" w:color="auto"/>
            </w:tcBorders>
            <w:vAlign w:val="center"/>
          </w:tcPr>
          <w:p w14:paraId="42DBED9B" w14:textId="77777777" w:rsidR="00FE36BE" w:rsidRPr="00FE36BE" w:rsidRDefault="00FE36BE" w:rsidP="00D348AD">
            <w:pPr>
              <w:pStyle w:val="0Block"/>
              <w:rPr>
                <w:rFonts w:ascii="Candara" w:hAnsi="Candara"/>
                <w:sz w:val="20"/>
                <w:szCs w:val="20"/>
              </w:rPr>
            </w:pPr>
          </w:p>
        </w:tc>
        <w:tc>
          <w:tcPr>
            <w:tcW w:w="0" w:type="auto"/>
            <w:tcBorders>
              <w:top w:val="single" w:sz="3" w:space="0" w:color="auto"/>
              <w:left w:val="single" w:sz="3" w:space="0" w:color="auto"/>
              <w:bottom w:val="single" w:sz="3" w:space="0" w:color="auto"/>
              <w:right w:val="single" w:sz="3" w:space="0" w:color="auto"/>
            </w:tcBorders>
            <w:vAlign w:val="center"/>
          </w:tcPr>
          <w:p w14:paraId="0A371F37" w14:textId="77777777" w:rsidR="00FE36BE" w:rsidRPr="00FE36BE" w:rsidRDefault="00FE36BE" w:rsidP="00D348AD">
            <w:pPr>
              <w:pStyle w:val="Para09"/>
              <w:rPr>
                <w:rFonts w:ascii="Candara" w:hAnsi="Candara"/>
                <w:sz w:val="18"/>
                <w:szCs w:val="18"/>
              </w:rPr>
            </w:pPr>
            <w:r w:rsidRPr="00FE36BE">
              <w:rPr>
                <w:rFonts w:ascii="Candara" w:hAnsi="Candara"/>
                <w:sz w:val="18"/>
                <w:szCs w:val="18"/>
              </w:rPr>
              <w:t>594,339*</w:t>
            </w:r>
          </w:p>
        </w:tc>
      </w:tr>
      <w:tr w:rsidR="00FE36BE" w:rsidRPr="00FE36BE" w14:paraId="3D6687B4" w14:textId="77777777" w:rsidTr="00D348AD">
        <w:tblPrEx>
          <w:tblCellMar>
            <w:top w:w="0" w:type="dxa"/>
            <w:bottom w:w="0" w:type="dxa"/>
          </w:tblCellMar>
        </w:tblPrEx>
        <w:tc>
          <w:tcPr>
            <w:tcW w:w="0" w:type="auto"/>
            <w:gridSpan w:val="3"/>
            <w:tcBorders>
              <w:top w:val="single" w:sz="3" w:space="0" w:color="auto"/>
              <w:left w:val="single" w:sz="3" w:space="0" w:color="auto"/>
              <w:bottom w:val="single" w:sz="3" w:space="0" w:color="auto"/>
            </w:tcBorders>
            <w:tcMar>
              <w:top w:w="100" w:type="dxa"/>
            </w:tcMar>
            <w:vAlign w:val="center"/>
          </w:tcPr>
          <w:p w14:paraId="65AD1E0B" w14:textId="77777777" w:rsidR="00FE36BE" w:rsidRPr="00FE36BE" w:rsidRDefault="00FE36BE" w:rsidP="00D348AD">
            <w:pPr>
              <w:pStyle w:val="Para49"/>
              <w:rPr>
                <w:rFonts w:ascii="Candara" w:hAnsi="Candara"/>
                <w:sz w:val="18"/>
                <w:szCs w:val="18"/>
              </w:rPr>
            </w:pPr>
            <w:r w:rsidRPr="00FE36BE">
              <w:rPr>
                <w:rFonts w:ascii="Candara" w:hAnsi="Candara"/>
                <w:sz w:val="18"/>
                <w:szCs w:val="18"/>
              </w:rPr>
              <w:t>*Total equals £423 million in 2010 value.</w:t>
            </w:r>
          </w:p>
        </w:tc>
      </w:tr>
      <w:tr w:rsidR="00FE36BE" w:rsidRPr="00FE36BE" w14:paraId="0166767B" w14:textId="77777777" w:rsidTr="00D348AD">
        <w:tblPrEx>
          <w:tblCellMar>
            <w:top w:w="0" w:type="dxa"/>
            <w:bottom w:w="0" w:type="dxa"/>
          </w:tblCellMar>
        </w:tblPrEx>
        <w:tc>
          <w:tcPr>
            <w:tcW w:w="0" w:type="auto"/>
            <w:gridSpan w:val="3"/>
            <w:tcBorders>
              <w:top w:val="single" w:sz="3" w:space="0" w:color="auto"/>
              <w:left w:val="single" w:sz="3" w:space="0" w:color="auto"/>
              <w:bottom w:val="single" w:sz="3" w:space="0" w:color="auto"/>
            </w:tcBorders>
            <w:vAlign w:val="center"/>
          </w:tcPr>
          <w:p w14:paraId="2170D9F6" w14:textId="77777777" w:rsidR="00FE36BE" w:rsidRPr="00FE36BE" w:rsidRDefault="00FE36BE" w:rsidP="00D348AD">
            <w:pPr>
              <w:pStyle w:val="Para38"/>
              <w:rPr>
                <w:rFonts w:ascii="Candara" w:hAnsi="Candara"/>
                <w:sz w:val="18"/>
                <w:szCs w:val="18"/>
              </w:rPr>
            </w:pPr>
            <w:r w:rsidRPr="00FE36BE">
              <w:rPr>
                <w:rStyle w:val="00Text"/>
                <w:rFonts w:ascii="Candara" w:hAnsi="Candara"/>
                <w:sz w:val="18"/>
                <w:szCs w:val="18"/>
              </w:rPr>
              <w:t>Source:</w:t>
            </w:r>
            <w:r w:rsidRPr="00FE36BE">
              <w:rPr>
                <w:rFonts w:ascii="Candara" w:hAnsi="Candara"/>
                <w:sz w:val="18"/>
                <w:szCs w:val="18"/>
              </w:rPr>
              <w:t xml:space="preserve"> Kathleen Mary Butler, </w:t>
            </w:r>
            <w:r w:rsidRPr="00FE36BE">
              <w:rPr>
                <w:rStyle w:val="00Text"/>
                <w:rFonts w:ascii="Candara" w:hAnsi="Candara"/>
                <w:sz w:val="18"/>
                <w:szCs w:val="18"/>
              </w:rPr>
              <w:t>The Economics of Emancipation: Jamaica and Barbados, 1823–1843</w:t>
            </w:r>
            <w:r w:rsidRPr="00FE36BE">
              <w:rPr>
                <w:rFonts w:ascii="Candara" w:hAnsi="Candara"/>
                <w:sz w:val="18"/>
                <w:szCs w:val="18"/>
              </w:rPr>
              <w:t xml:space="preserve"> (Chapel Hill: University of North Carolina Press, 1995), 53.</w:t>
            </w:r>
          </w:p>
        </w:tc>
      </w:tr>
    </w:tbl>
    <w:p w14:paraId="52DC046E" w14:textId="77777777" w:rsidR="00FE36BE" w:rsidRPr="00FE36BE" w:rsidRDefault="00FE36BE" w:rsidP="00FE36BE">
      <w:pPr>
        <w:pStyle w:val="Para04"/>
        <w:rPr>
          <w:rFonts w:ascii="Candara" w:hAnsi="Candara"/>
          <w:sz w:val="22"/>
          <w:szCs w:val="22"/>
        </w:rPr>
      </w:pPr>
      <w:r w:rsidRPr="00FE36BE">
        <w:rPr>
          <w:rFonts w:ascii="Candara" w:hAnsi="Candara"/>
          <w:sz w:val="22"/>
          <w:szCs w:val="22"/>
        </w:rPr>
        <w:t>He continued to downsize his West India investments and divert his interest to the British domestic economy.</w:t>
      </w:r>
      <w:bookmarkStart w:id="153" w:name="cue_242_324"/>
      <w:bookmarkEnd w:id="153"/>
      <w:r w:rsidRPr="00FE36BE">
        <w:rPr>
          <w:rFonts w:ascii="Candara" w:hAnsi="Candara"/>
          <w:sz w:val="22"/>
          <w:szCs w:val="22"/>
        </w:rPr>
        <w:fldChar w:fldCharType="begin"/>
      </w:r>
      <w:r w:rsidRPr="00FE36BE">
        <w:rPr>
          <w:rFonts w:ascii="Candara" w:hAnsi="Candara"/>
          <w:sz w:val="22"/>
          <w:szCs w:val="22"/>
        </w:rPr>
        <w:instrText xml:space="preserve"> HYPERLINK \l "note_242_324" \h </w:instrText>
      </w:r>
      <w:r w:rsidRPr="00FE36BE">
        <w:rPr>
          <w:rFonts w:ascii="Candara" w:hAnsi="Candara"/>
          <w:sz w:val="22"/>
          <w:szCs w:val="22"/>
        </w:rPr>
        <w:fldChar w:fldCharType="separate"/>
      </w:r>
      <w:r w:rsidRPr="00FE36BE">
        <w:rPr>
          <w:rStyle w:val="09Text"/>
          <w:rFonts w:ascii="Candara" w:hAnsi="Candara"/>
          <w:sz w:val="16"/>
          <w:szCs w:val="16"/>
        </w:rPr>
        <w:t>27</w:t>
      </w:r>
      <w:r w:rsidRPr="00FE36BE">
        <w:rPr>
          <w:rStyle w:val="09Text"/>
          <w:rFonts w:ascii="Candara" w:hAnsi="Candara"/>
          <w:sz w:val="16"/>
          <w:szCs w:val="16"/>
        </w:rPr>
        <w:fldChar w:fldCharType="end"/>
      </w:r>
    </w:p>
    <w:p w14:paraId="5DA2CF32" w14:textId="77777777" w:rsidR="00FE36BE" w:rsidRPr="00FE36BE" w:rsidRDefault="00FE36BE" w:rsidP="00FE36BE">
      <w:pPr>
        <w:pStyle w:val="Para01"/>
        <w:rPr>
          <w:rFonts w:ascii="Candara" w:hAnsi="Candara"/>
          <w:sz w:val="22"/>
          <w:szCs w:val="22"/>
        </w:rPr>
      </w:pPr>
      <w:r w:rsidRPr="00FE36BE">
        <w:rPr>
          <w:rFonts w:ascii="Candara" w:hAnsi="Candara"/>
          <w:sz w:val="22"/>
          <w:szCs w:val="22"/>
        </w:rPr>
        <w:t>Slave owners, then, won three decisive battles in securing reparations for their property rights in enslaved Africans. First, they received cash to refinance their business (see table 11.6); second, they were able to make new investments, mostly in British stocks; and third, they succeeded in holding on to their West Indian enterprises and thereby rendering the “freed” persons largely landless and second-class in the colonies where they had been enslaved.</w:t>
      </w:r>
    </w:p>
    <w:p w14:paraId="49F3914C"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 impact of reparations money on slave owners’ finances was immediate. They used the funds to pay off debts and to reduce mortgages on their plantations held by British merchant companies to manageable levels. Reparations funds saved most slave owners from the bankruptcy they faced in 1830 as a result of excess credit consumption. Reparations for the British financiers always “meant more than a simple vindication of property rights. It represented a unique opportunity to recoup at least part of their colonial investments”.</w:t>
      </w:r>
      <w:bookmarkStart w:id="154" w:name="cue_242_325"/>
      <w:bookmarkEnd w:id="154"/>
      <w:r w:rsidRPr="00FE36BE">
        <w:rPr>
          <w:rFonts w:ascii="Candara" w:hAnsi="Candara"/>
          <w:sz w:val="22"/>
          <w:szCs w:val="22"/>
        </w:rPr>
        <w:fldChar w:fldCharType="begin"/>
      </w:r>
      <w:r w:rsidRPr="00FE36BE">
        <w:rPr>
          <w:rFonts w:ascii="Candara" w:hAnsi="Candara"/>
          <w:sz w:val="22"/>
          <w:szCs w:val="22"/>
        </w:rPr>
        <w:instrText xml:space="preserve"> HYPERLINK \l "note_242_325" \h </w:instrText>
      </w:r>
      <w:r w:rsidRPr="00FE36BE">
        <w:rPr>
          <w:rFonts w:ascii="Candara" w:hAnsi="Candara"/>
          <w:sz w:val="22"/>
          <w:szCs w:val="22"/>
        </w:rPr>
        <w:fldChar w:fldCharType="separate"/>
      </w:r>
      <w:r w:rsidRPr="00FE36BE">
        <w:rPr>
          <w:rStyle w:val="09Text"/>
          <w:rFonts w:ascii="Candara" w:hAnsi="Candara"/>
          <w:sz w:val="16"/>
          <w:szCs w:val="16"/>
        </w:rPr>
        <w:t>28</w:t>
      </w:r>
      <w:r w:rsidRPr="00FE36BE">
        <w:rPr>
          <w:rStyle w:val="09Text"/>
          <w:rFonts w:ascii="Candara" w:hAnsi="Candara"/>
          <w:sz w:val="16"/>
          <w:szCs w:val="16"/>
        </w:rPr>
        <w:fldChar w:fldCharType="end"/>
      </w:r>
    </w:p>
    <w:p w14:paraId="2019EC2D" w14:textId="77777777" w:rsidR="00FE36BE" w:rsidRPr="00FE36BE" w:rsidRDefault="00FE36BE" w:rsidP="00FE36BE">
      <w:pPr>
        <w:pStyle w:val="Para01"/>
        <w:rPr>
          <w:rFonts w:ascii="Candara" w:hAnsi="Candara"/>
          <w:sz w:val="22"/>
          <w:szCs w:val="22"/>
        </w:rPr>
      </w:pPr>
      <w:r w:rsidRPr="00FE36BE">
        <w:rPr>
          <w:rFonts w:ascii="Candara" w:hAnsi="Candara"/>
          <w:sz w:val="22"/>
          <w:szCs w:val="22"/>
        </w:rPr>
        <w:t>The frenzied feeding on reparation funds, as described by Draper, therefore included all parties to the crime of slave owning. The feeding fattened many and reduced the financial stress of most. In this sense, slavery was profitable to the very end. These funds were invested in the British domestic and colonial economy, and they represented a major stimulus to activity in traditional and emerging sectors. The significant growth of the British economy between 1840 and 1870 had much to do with this stimulus of reparations capital that strengthened entrepreneurship and opened up new investment opportunities.</w:t>
      </w:r>
    </w:p>
    <w:p w14:paraId="1D862C7A" w14:textId="77777777" w:rsidR="00FE36BE" w:rsidRPr="00FE36BE" w:rsidRDefault="00FE36BE" w:rsidP="00FE36BE">
      <w:pPr>
        <w:pStyle w:val="Para01"/>
        <w:rPr>
          <w:rFonts w:ascii="Candara" w:hAnsi="Candara"/>
          <w:sz w:val="22"/>
          <w:szCs w:val="22"/>
        </w:rPr>
      </w:pPr>
      <w:r w:rsidRPr="00FE36BE">
        <w:rPr>
          <w:rFonts w:ascii="Candara" w:hAnsi="Candara"/>
          <w:sz w:val="22"/>
          <w:szCs w:val="22"/>
        </w:rPr>
        <w:t>In the Caribbean, the plantation system remained. Blacks, now freed, entered into a period of intensive policing, racial apartheid and increased hostility to their demands for justice. The West Indies planters and merchants, and their London financiers, were pleased with the reparations deal. The blacks who had been the victims of the crime received nothing. This was the greatest crime of all committed by the British state against the African people.</w:t>
      </w:r>
    </w:p>
    <w:p w14:paraId="3F650BA7" w14:textId="77777777" w:rsidR="00FE36BE" w:rsidRPr="00FE36BE" w:rsidRDefault="00FE36BE" w:rsidP="00FE36BE">
      <w:pPr>
        <w:rPr>
          <w:rFonts w:ascii="Candara" w:hAnsi="Candara"/>
          <w:sz w:val="20"/>
          <w:szCs w:val="20"/>
        </w:rPr>
      </w:pPr>
    </w:p>
    <w:sectPr w:rsidR="00FE36BE" w:rsidRPr="00FE36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6BE"/>
    <w:rsid w:val="00565B95"/>
    <w:rsid w:val="00FE36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E22FF"/>
  <w15:chartTrackingRefBased/>
  <w15:docId w15:val="{A6C0DAA1-9F08-4A64-BEA4-EB2938A5A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01">
    <w:name w:val="Para 01"/>
    <w:basedOn w:val="Normal"/>
    <w:qFormat/>
    <w:rsid w:val="00FE36BE"/>
    <w:pPr>
      <w:spacing w:after="0" w:line="288" w:lineRule="atLeast"/>
      <w:ind w:firstLine="102"/>
      <w:jc w:val="both"/>
    </w:pPr>
    <w:rPr>
      <w:rFonts w:ascii="Cambria" w:eastAsia="Cambria" w:hAnsi="Cambria" w:cs="Times New Roman"/>
      <w:color w:val="000000"/>
      <w:sz w:val="24"/>
      <w:szCs w:val="24"/>
      <w:lang w:val="en" w:eastAsia="en"/>
    </w:rPr>
  </w:style>
  <w:style w:type="paragraph" w:customStyle="1" w:styleId="Para04">
    <w:name w:val="Para 04"/>
    <w:basedOn w:val="Normal"/>
    <w:qFormat/>
    <w:rsid w:val="00FE36BE"/>
    <w:pPr>
      <w:spacing w:after="0" w:line="316" w:lineRule="atLeast"/>
      <w:ind w:firstLine="102"/>
      <w:jc w:val="both"/>
    </w:pPr>
    <w:rPr>
      <w:rFonts w:ascii="Cambria" w:eastAsia="Cambria" w:hAnsi="Cambria" w:cs="Times New Roman"/>
      <w:color w:val="000000"/>
      <w:sz w:val="24"/>
      <w:szCs w:val="24"/>
      <w:lang w:val="en" w:eastAsia="en"/>
    </w:rPr>
  </w:style>
  <w:style w:type="paragraph" w:customStyle="1" w:styleId="Para06">
    <w:name w:val="Para 06"/>
    <w:basedOn w:val="Normal"/>
    <w:qFormat/>
    <w:rsid w:val="00FE36BE"/>
    <w:pPr>
      <w:spacing w:before="8" w:after="8" w:line="299" w:lineRule="atLeast"/>
    </w:pPr>
    <w:rPr>
      <w:rFonts w:ascii="Cambria" w:eastAsia="Cambria" w:hAnsi="Cambria" w:cs="Cambria"/>
      <w:color w:val="000000"/>
      <w:sz w:val="19"/>
      <w:szCs w:val="19"/>
      <w:lang w:val="en" w:eastAsia="en"/>
    </w:rPr>
  </w:style>
  <w:style w:type="paragraph" w:customStyle="1" w:styleId="Para08">
    <w:name w:val="Para 08"/>
    <w:basedOn w:val="Normal"/>
    <w:qFormat/>
    <w:rsid w:val="00FE36BE"/>
    <w:pPr>
      <w:spacing w:before="8" w:after="8" w:line="269" w:lineRule="atLeast"/>
    </w:pPr>
    <w:rPr>
      <w:rFonts w:ascii="Cambria" w:eastAsia="Cambria" w:hAnsi="Cambria" w:cs="Cambria"/>
      <w:color w:val="000000"/>
      <w:sz w:val="19"/>
      <w:szCs w:val="19"/>
      <w:lang w:val="en" w:eastAsia="en"/>
    </w:rPr>
  </w:style>
  <w:style w:type="paragraph" w:customStyle="1" w:styleId="Para09">
    <w:name w:val="Para 09"/>
    <w:basedOn w:val="Normal"/>
    <w:qFormat/>
    <w:rsid w:val="00FE36BE"/>
    <w:pPr>
      <w:spacing w:before="8" w:after="8" w:line="279" w:lineRule="atLeast"/>
    </w:pPr>
    <w:rPr>
      <w:rFonts w:ascii="Cambria" w:eastAsia="Cambria" w:hAnsi="Cambria" w:cs="Cambria"/>
      <w:color w:val="000000"/>
      <w:sz w:val="19"/>
      <w:szCs w:val="19"/>
      <w:lang w:val="en" w:eastAsia="en"/>
    </w:rPr>
  </w:style>
  <w:style w:type="paragraph" w:customStyle="1" w:styleId="Para11">
    <w:name w:val="Para 11"/>
    <w:basedOn w:val="Normal"/>
    <w:qFormat/>
    <w:rsid w:val="00FE36BE"/>
    <w:pPr>
      <w:spacing w:after="0" w:line="316" w:lineRule="atLeast"/>
      <w:jc w:val="both"/>
    </w:pPr>
    <w:rPr>
      <w:rFonts w:ascii="Cambria" w:eastAsia="Cambria" w:hAnsi="Cambria" w:cs="Times New Roman"/>
      <w:color w:val="000000"/>
      <w:sz w:val="24"/>
      <w:szCs w:val="24"/>
      <w:lang w:val="en" w:eastAsia="en"/>
    </w:rPr>
  </w:style>
  <w:style w:type="paragraph" w:customStyle="1" w:styleId="Para14">
    <w:name w:val="Para 14"/>
    <w:basedOn w:val="Normal"/>
    <w:qFormat/>
    <w:rsid w:val="00FE36BE"/>
    <w:pPr>
      <w:spacing w:before="76" w:after="102" w:line="269" w:lineRule="atLeast"/>
      <w:ind w:left="188"/>
      <w:jc w:val="both"/>
    </w:pPr>
    <w:rPr>
      <w:rFonts w:ascii="Cambria" w:eastAsia="Cambria" w:hAnsi="Cambria" w:cs="Cambria"/>
      <w:color w:val="000000"/>
      <w:sz w:val="19"/>
      <w:szCs w:val="19"/>
      <w:lang w:val="en" w:eastAsia="en"/>
    </w:rPr>
  </w:style>
  <w:style w:type="paragraph" w:customStyle="1" w:styleId="Para16">
    <w:name w:val="Para 16"/>
    <w:basedOn w:val="Normal"/>
    <w:qFormat/>
    <w:rsid w:val="00FE36BE"/>
    <w:pPr>
      <w:spacing w:before="8" w:after="8" w:line="359" w:lineRule="atLeast"/>
    </w:pPr>
    <w:rPr>
      <w:rFonts w:ascii="Cambria" w:eastAsia="Cambria" w:hAnsi="Cambria" w:cs="Cambria"/>
      <w:color w:val="000000"/>
      <w:sz w:val="19"/>
      <w:szCs w:val="19"/>
      <w:lang w:val="en" w:eastAsia="en"/>
    </w:rPr>
  </w:style>
  <w:style w:type="paragraph" w:customStyle="1" w:styleId="Para17">
    <w:name w:val="Para 17"/>
    <w:basedOn w:val="Normal"/>
    <w:qFormat/>
    <w:rsid w:val="00FE36BE"/>
    <w:pPr>
      <w:spacing w:after="307" w:line="445" w:lineRule="atLeast"/>
      <w:jc w:val="center"/>
    </w:pPr>
    <w:rPr>
      <w:rFonts w:ascii="Cambria" w:eastAsia="Cambria" w:hAnsi="Cambria" w:cs="Times New Roman"/>
      <w:color w:val="000000"/>
      <w:sz w:val="31"/>
      <w:szCs w:val="31"/>
      <w:lang w:val="en" w:eastAsia="en"/>
    </w:rPr>
  </w:style>
  <w:style w:type="paragraph" w:customStyle="1" w:styleId="Para21">
    <w:name w:val="Para 21"/>
    <w:basedOn w:val="Normal"/>
    <w:qFormat/>
    <w:rsid w:val="00FE36BE"/>
    <w:pPr>
      <w:spacing w:before="8" w:after="8" w:line="269" w:lineRule="atLeast"/>
    </w:pPr>
    <w:rPr>
      <w:rFonts w:ascii="Cambria" w:eastAsia="Cambria" w:hAnsi="Cambria" w:cs="Times New Roman"/>
      <w:b/>
      <w:bCs/>
      <w:color w:val="000000"/>
      <w:sz w:val="19"/>
      <w:szCs w:val="19"/>
      <w:lang w:val="en" w:eastAsia="en"/>
    </w:rPr>
  </w:style>
  <w:style w:type="paragraph" w:customStyle="1" w:styleId="Para22">
    <w:name w:val="Para 22"/>
    <w:basedOn w:val="Normal"/>
    <w:qFormat/>
    <w:rsid w:val="00FE36BE"/>
    <w:pPr>
      <w:spacing w:after="51" w:line="269" w:lineRule="atLeast"/>
      <w:ind w:left="188" w:firstLine="94"/>
      <w:jc w:val="both"/>
    </w:pPr>
    <w:rPr>
      <w:rFonts w:ascii="Cambria" w:eastAsia="Cambria" w:hAnsi="Cambria" w:cs="Times New Roman"/>
      <w:i/>
      <w:iCs/>
      <w:color w:val="000000"/>
      <w:sz w:val="19"/>
      <w:szCs w:val="19"/>
      <w:lang w:val="en" w:eastAsia="en"/>
    </w:rPr>
  </w:style>
  <w:style w:type="paragraph" w:customStyle="1" w:styleId="Para25">
    <w:name w:val="Para 25"/>
    <w:basedOn w:val="Normal"/>
    <w:qFormat/>
    <w:rsid w:val="00FE36BE"/>
    <w:pPr>
      <w:spacing w:before="51" w:after="0" w:line="269" w:lineRule="atLeast"/>
      <w:ind w:left="188"/>
      <w:jc w:val="both"/>
    </w:pPr>
    <w:rPr>
      <w:rFonts w:ascii="Cambria" w:eastAsia="Cambria" w:hAnsi="Cambria" w:cs="Cambria"/>
      <w:color w:val="000000"/>
      <w:sz w:val="19"/>
      <w:szCs w:val="19"/>
      <w:lang w:val="en" w:eastAsia="en"/>
    </w:rPr>
  </w:style>
  <w:style w:type="paragraph" w:customStyle="1" w:styleId="Para28">
    <w:name w:val="Para 28"/>
    <w:basedOn w:val="Normal"/>
    <w:qFormat/>
    <w:rsid w:val="00FE36BE"/>
    <w:pPr>
      <w:spacing w:before="196" w:after="0" w:line="316" w:lineRule="atLeast"/>
      <w:jc w:val="both"/>
    </w:pPr>
    <w:rPr>
      <w:rFonts w:ascii="Cambria" w:eastAsia="Cambria" w:hAnsi="Cambria" w:cs="Times New Roman"/>
      <w:color w:val="000000"/>
      <w:sz w:val="24"/>
      <w:szCs w:val="24"/>
      <w:lang w:val="en" w:eastAsia="en"/>
    </w:rPr>
  </w:style>
  <w:style w:type="paragraph" w:customStyle="1" w:styleId="Para30">
    <w:name w:val="Para 30"/>
    <w:basedOn w:val="Normal"/>
    <w:qFormat/>
    <w:rsid w:val="00FE36BE"/>
    <w:pPr>
      <w:spacing w:before="153" w:after="76" w:line="289" w:lineRule="atLeast"/>
    </w:pPr>
    <w:rPr>
      <w:rFonts w:ascii="Cambria" w:eastAsia="Cambria" w:hAnsi="Cambria" w:cs="Cambria"/>
      <w:color w:val="000000"/>
      <w:sz w:val="19"/>
      <w:szCs w:val="19"/>
      <w:lang w:val="en" w:eastAsia="en"/>
    </w:rPr>
  </w:style>
  <w:style w:type="paragraph" w:customStyle="1" w:styleId="Para36">
    <w:name w:val="Para 36"/>
    <w:basedOn w:val="Normal"/>
    <w:qFormat/>
    <w:rsid w:val="00FE36BE"/>
    <w:pPr>
      <w:spacing w:before="8" w:after="76" w:line="299" w:lineRule="atLeast"/>
    </w:pPr>
    <w:rPr>
      <w:rFonts w:ascii="Cambria" w:eastAsia="Cambria" w:hAnsi="Cambria" w:cs="Times New Roman"/>
      <w:b/>
      <w:bCs/>
      <w:color w:val="000000"/>
      <w:sz w:val="19"/>
      <w:szCs w:val="19"/>
      <w:lang w:val="en" w:eastAsia="en"/>
    </w:rPr>
  </w:style>
  <w:style w:type="paragraph" w:customStyle="1" w:styleId="Para38">
    <w:name w:val="Para 38"/>
    <w:basedOn w:val="Normal"/>
    <w:qFormat/>
    <w:rsid w:val="00FE36BE"/>
    <w:pPr>
      <w:spacing w:before="76" w:after="153" w:line="259" w:lineRule="atLeast"/>
    </w:pPr>
    <w:rPr>
      <w:rFonts w:ascii="Cambria" w:eastAsia="Cambria" w:hAnsi="Cambria" w:cs="Cambria"/>
      <w:color w:val="000000"/>
      <w:sz w:val="19"/>
      <w:szCs w:val="19"/>
      <w:lang w:val="en" w:eastAsia="en"/>
    </w:rPr>
  </w:style>
  <w:style w:type="paragraph" w:customStyle="1" w:styleId="Para44">
    <w:name w:val="Para 44"/>
    <w:basedOn w:val="Normal"/>
    <w:qFormat/>
    <w:rsid w:val="00FE36BE"/>
    <w:pPr>
      <w:spacing w:before="76" w:after="153" w:line="259" w:lineRule="atLeast"/>
    </w:pPr>
    <w:rPr>
      <w:rFonts w:ascii="Cambria" w:eastAsia="Cambria" w:hAnsi="Cambria" w:cs="Times New Roman"/>
      <w:i/>
      <w:iCs/>
      <w:color w:val="000000"/>
      <w:sz w:val="19"/>
      <w:szCs w:val="19"/>
      <w:lang w:val="en" w:eastAsia="en"/>
    </w:rPr>
  </w:style>
  <w:style w:type="paragraph" w:customStyle="1" w:styleId="Para45">
    <w:name w:val="Para 45"/>
    <w:basedOn w:val="Normal"/>
    <w:qFormat/>
    <w:rsid w:val="00FE36BE"/>
    <w:pPr>
      <w:spacing w:after="0" w:line="269" w:lineRule="atLeast"/>
    </w:pPr>
    <w:rPr>
      <w:rFonts w:ascii="Cambria" w:eastAsia="Cambria" w:hAnsi="Cambria" w:cs="Times New Roman"/>
      <w:b/>
      <w:bCs/>
      <w:color w:val="000000"/>
      <w:sz w:val="19"/>
      <w:szCs w:val="19"/>
      <w:lang w:val="en" w:eastAsia="en"/>
    </w:rPr>
  </w:style>
  <w:style w:type="paragraph" w:customStyle="1" w:styleId="Para46">
    <w:name w:val="Para 46"/>
    <w:basedOn w:val="Normal"/>
    <w:qFormat/>
    <w:rsid w:val="00FE36BE"/>
    <w:pPr>
      <w:spacing w:after="76" w:line="269" w:lineRule="atLeast"/>
    </w:pPr>
    <w:rPr>
      <w:rFonts w:ascii="Cambria" w:eastAsia="Cambria" w:hAnsi="Cambria" w:cs="Times New Roman"/>
      <w:b/>
      <w:bCs/>
      <w:color w:val="000000"/>
      <w:sz w:val="19"/>
      <w:szCs w:val="19"/>
      <w:lang w:val="en" w:eastAsia="en"/>
    </w:rPr>
  </w:style>
  <w:style w:type="paragraph" w:customStyle="1" w:styleId="Para47">
    <w:name w:val="Para 47"/>
    <w:basedOn w:val="Normal"/>
    <w:qFormat/>
    <w:rsid w:val="00FE36BE"/>
    <w:pPr>
      <w:spacing w:before="196" w:after="76" w:line="331" w:lineRule="atLeast"/>
    </w:pPr>
    <w:rPr>
      <w:rFonts w:ascii="Cambria" w:eastAsia="Cambria" w:hAnsi="Cambria" w:cs="Times New Roman"/>
      <w:i/>
      <w:iCs/>
      <w:color w:val="000000"/>
      <w:sz w:val="24"/>
      <w:szCs w:val="24"/>
      <w:lang w:val="en" w:eastAsia="en"/>
    </w:rPr>
  </w:style>
  <w:style w:type="paragraph" w:customStyle="1" w:styleId="Para49">
    <w:name w:val="Para 49"/>
    <w:basedOn w:val="Normal"/>
    <w:qFormat/>
    <w:rsid w:val="00FE36BE"/>
    <w:pPr>
      <w:spacing w:before="42" w:after="0" w:line="259" w:lineRule="atLeast"/>
    </w:pPr>
    <w:rPr>
      <w:rFonts w:ascii="Cambria" w:eastAsia="Cambria" w:hAnsi="Cambria" w:cs="Cambria"/>
      <w:color w:val="000000"/>
      <w:sz w:val="19"/>
      <w:szCs w:val="19"/>
      <w:lang w:val="en" w:eastAsia="en"/>
    </w:rPr>
  </w:style>
  <w:style w:type="paragraph" w:customStyle="1" w:styleId="Para53">
    <w:name w:val="Para 53"/>
    <w:basedOn w:val="Normal"/>
    <w:qFormat/>
    <w:rsid w:val="00FE36BE"/>
    <w:pPr>
      <w:spacing w:before="153" w:after="0" w:line="289" w:lineRule="atLeast"/>
    </w:pPr>
    <w:rPr>
      <w:rFonts w:ascii="Cambria" w:eastAsia="Cambria" w:hAnsi="Cambria" w:cs="Cambria"/>
      <w:color w:val="000000"/>
      <w:sz w:val="19"/>
      <w:szCs w:val="19"/>
      <w:lang w:val="en" w:eastAsia="en"/>
    </w:rPr>
  </w:style>
  <w:style w:type="paragraph" w:customStyle="1" w:styleId="Para57">
    <w:name w:val="Para 57"/>
    <w:basedOn w:val="Normal"/>
    <w:qFormat/>
    <w:rsid w:val="00FE36BE"/>
    <w:pPr>
      <w:spacing w:before="196" w:after="153" w:line="288" w:lineRule="atLeast"/>
      <w:ind w:firstLine="102"/>
      <w:jc w:val="center"/>
    </w:pPr>
    <w:rPr>
      <w:rFonts w:ascii="Cambria" w:eastAsia="Cambria" w:hAnsi="Cambria" w:cs="Times New Roman"/>
      <w:color w:val="000000"/>
      <w:sz w:val="24"/>
      <w:szCs w:val="24"/>
      <w:lang w:val="en" w:eastAsia="en"/>
    </w:rPr>
  </w:style>
  <w:style w:type="paragraph" w:customStyle="1" w:styleId="Para62">
    <w:name w:val="Para 62"/>
    <w:basedOn w:val="Normal"/>
    <w:qFormat/>
    <w:rsid w:val="00FE36BE"/>
    <w:pPr>
      <w:spacing w:before="8" w:after="76" w:line="299" w:lineRule="atLeast"/>
    </w:pPr>
    <w:rPr>
      <w:rFonts w:ascii="Cambria" w:eastAsia="Cambria" w:hAnsi="Cambria" w:cs="Cambria"/>
      <w:color w:val="000000"/>
      <w:sz w:val="19"/>
      <w:szCs w:val="19"/>
      <w:lang w:val="en" w:eastAsia="en"/>
    </w:rPr>
  </w:style>
  <w:style w:type="paragraph" w:customStyle="1" w:styleId="Para70">
    <w:name w:val="Para 70"/>
    <w:basedOn w:val="Normal"/>
    <w:qFormat/>
    <w:rsid w:val="00FE36BE"/>
    <w:pPr>
      <w:spacing w:before="76" w:after="0" w:line="259" w:lineRule="atLeast"/>
    </w:pPr>
    <w:rPr>
      <w:rFonts w:ascii="Cambria" w:eastAsia="Cambria" w:hAnsi="Cambria" w:cs="Cambria"/>
      <w:color w:val="000000"/>
      <w:sz w:val="19"/>
      <w:szCs w:val="19"/>
      <w:lang w:val="en" w:eastAsia="en"/>
    </w:rPr>
  </w:style>
  <w:style w:type="character" w:customStyle="1" w:styleId="00Text">
    <w:name w:val="00 Text"/>
    <w:rsid w:val="00FE36BE"/>
    <w:rPr>
      <w:i/>
      <w:iCs/>
    </w:rPr>
  </w:style>
  <w:style w:type="character" w:customStyle="1" w:styleId="01Text">
    <w:name w:val="01 Text"/>
    <w:rsid w:val="00FE36BE"/>
    <w:rPr>
      <w:caps/>
      <w:sz w:val="18"/>
      <w:szCs w:val="18"/>
    </w:rPr>
  </w:style>
  <w:style w:type="character" w:customStyle="1" w:styleId="07Text">
    <w:name w:val="07 Text"/>
    <w:rsid w:val="00FE36BE"/>
    <w:rPr>
      <w:color w:val="EC008C"/>
      <w:sz w:val="17"/>
      <w:szCs w:val="17"/>
      <w:u w:val="single"/>
      <w:vertAlign w:val="superscript"/>
    </w:rPr>
  </w:style>
  <w:style w:type="character" w:customStyle="1" w:styleId="09Text">
    <w:name w:val="09 Text"/>
    <w:rsid w:val="00FE36BE"/>
    <w:rPr>
      <w:color w:val="EC008C"/>
      <w:sz w:val="18"/>
      <w:szCs w:val="18"/>
      <w:u w:val="single"/>
      <w:vertAlign w:val="superscript"/>
    </w:rPr>
  </w:style>
  <w:style w:type="character" w:customStyle="1" w:styleId="13Text">
    <w:name w:val="13 Text"/>
    <w:rsid w:val="00FE36BE"/>
    <w:rPr>
      <w:sz w:val="18"/>
      <w:szCs w:val="18"/>
    </w:rPr>
  </w:style>
  <w:style w:type="paragraph" w:customStyle="1" w:styleId="0Block">
    <w:name w:val="0 Block"/>
    <w:rsid w:val="00FE36BE"/>
    <w:pPr>
      <w:spacing w:after="0" w:line="288" w:lineRule="atLeast"/>
    </w:pPr>
    <w:rPr>
      <w:rFonts w:eastAsiaTheme="minorEastAsia" w:cs="Times New Roman"/>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5231</Words>
  <Characters>29817</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1</cp:revision>
  <dcterms:created xsi:type="dcterms:W3CDTF">2019-08-21T13:08:00Z</dcterms:created>
  <dcterms:modified xsi:type="dcterms:W3CDTF">2019-08-21T13:11:00Z</dcterms:modified>
</cp:coreProperties>
</file>