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6856F1" w14:textId="5D669C46" w:rsidR="00AB46BD" w:rsidRPr="002704FB" w:rsidRDefault="00AB46BD" w:rsidP="00AB46BD">
      <w:pPr>
        <w:rPr>
          <w:sz w:val="36"/>
          <w:szCs w:val="36"/>
        </w:rPr>
      </w:pPr>
      <w:r w:rsidRPr="002704FB">
        <w:rPr>
          <w:sz w:val="36"/>
          <w:szCs w:val="36"/>
        </w:rPr>
        <w:t>Interpretation  - Catherine Hall (</w:t>
      </w:r>
      <w:r w:rsidR="00117161">
        <w:rPr>
          <w:sz w:val="36"/>
          <w:szCs w:val="36"/>
        </w:rPr>
        <w:t>2013</w:t>
      </w:r>
      <w:r w:rsidRPr="002704FB">
        <w:rPr>
          <w:sz w:val="36"/>
          <w:szCs w:val="36"/>
        </w:rPr>
        <w:t xml:space="preserve">) </w:t>
      </w:r>
    </w:p>
    <w:p w14:paraId="7E720292" w14:textId="77777777" w:rsidR="00AB46BD" w:rsidRPr="002704FB" w:rsidRDefault="00AB46BD" w:rsidP="00AB46BD">
      <w:pPr>
        <w:rPr>
          <w:rFonts w:eastAsia="Calibri" w:cs="Arial"/>
          <w:sz w:val="40"/>
          <w:szCs w:val="36"/>
        </w:rPr>
      </w:pPr>
      <w:r w:rsidRPr="002704FB">
        <w:rPr>
          <w:rFonts w:eastAsia="Calibri" w:cs="Arial"/>
          <w:sz w:val="40"/>
          <w:szCs w:val="36"/>
        </w:rPr>
        <w:t>Hall, Catherine, ‘Towards a new past: The legacies of British Slave-ownership’, UCL Lecture</w:t>
      </w:r>
    </w:p>
    <w:p w14:paraId="76D98429" w14:textId="77777777" w:rsidR="00AB46BD" w:rsidRPr="002704FB" w:rsidRDefault="00AB46BD" w:rsidP="00AB46BD">
      <w:pPr>
        <w:rPr>
          <w:rFonts w:eastAsia="Calibri" w:cs="Arial"/>
          <w:sz w:val="40"/>
          <w:szCs w:val="36"/>
        </w:rPr>
      </w:pPr>
      <w:hyperlink r:id="rId5" w:history="1">
        <w:r w:rsidRPr="002704FB">
          <w:rPr>
            <w:rStyle w:val="Hyperlink"/>
            <w:rFonts w:eastAsia="Calibri" w:cs="Arial"/>
            <w:sz w:val="40"/>
            <w:szCs w:val="36"/>
          </w:rPr>
          <w:t>https://www.youtube.com/watch?v=WtyATuC_fXw</w:t>
        </w:r>
      </w:hyperlink>
      <w:r w:rsidRPr="002704FB">
        <w:rPr>
          <w:rFonts w:eastAsia="Calibri" w:cs="Arial"/>
          <w:sz w:val="40"/>
          <w:szCs w:val="36"/>
        </w:rPr>
        <w:t xml:space="preserve"> </w:t>
      </w:r>
    </w:p>
    <w:p w14:paraId="5F9BFE27" w14:textId="77777777" w:rsidR="00AB46BD" w:rsidRDefault="00AB46BD" w:rsidP="00AB46BD"/>
    <w:p w14:paraId="5E40F0AB" w14:textId="77777777" w:rsidR="00AB46BD" w:rsidRDefault="00AB46BD" w:rsidP="00AB46BD">
      <w:bookmarkStart w:id="0" w:name="_GoBack"/>
      <w:bookmarkEnd w:id="0"/>
      <w:r>
        <w:t xml:space="preserve">The Slave Owners, we suggest, played an important part in shaping British society as agents but also subjects of the new world. They have acted as a lense for us, pushing us to rethink the notion of the decline of the West India interest by the 1830s, that became something of an orthodoxy following the works of both Ragatz and Williams. </w:t>
      </w:r>
    </w:p>
    <w:p w14:paraId="7C5DC12F" w14:textId="77777777" w:rsidR="00AB46BD" w:rsidRDefault="00AB46BD" w:rsidP="00AB46BD">
      <w:r>
        <w:t xml:space="preserve">We have tracked the impact West Indian proprietors were able to have economically, political, and culturally in the period after emancipation, and traced the continuities in the cultural and physical fabric of </w:t>
      </w:r>
      <w:commentRangeStart w:id="1"/>
      <w:r>
        <w:t>Britain</w:t>
      </w:r>
      <w:commentRangeEnd w:id="1"/>
      <w:r w:rsidR="004163DA">
        <w:rPr>
          <w:rStyle w:val="CommentReference"/>
        </w:rPr>
        <w:commentReference w:id="1"/>
      </w:r>
      <w:r>
        <w:t xml:space="preserve">. </w:t>
      </w:r>
    </w:p>
    <w:p w14:paraId="33C92BF3" w14:textId="77777777" w:rsidR="00AB46BD" w:rsidRDefault="00AB46BD" w:rsidP="00AB46BD">
      <w:r>
        <w:t xml:space="preserve">Far from surviving as an archaic fragment, with their political power demolished and their wealth undermined by emancipation, they were able to mobilise sufficient influence to secure major concessions in return for their acceptance of abolition. In addition to their share of the sum of £20 million, they also benefitted substantially from the system of the “apprenticeship”, which meant that although formally free, those previously enslaved were compelled to work on the estates of their masters for a further period of 4-6 </w:t>
      </w:r>
      <w:commentRangeStart w:id="2"/>
      <w:r>
        <w:t>years</w:t>
      </w:r>
      <w:commentRangeEnd w:id="2"/>
      <w:r w:rsidR="004163DA">
        <w:rPr>
          <w:rStyle w:val="CommentReference"/>
        </w:rPr>
        <w:commentReference w:id="2"/>
      </w:r>
      <w:r>
        <w:t>.</w:t>
      </w:r>
    </w:p>
    <w:p w14:paraId="47A7D721" w14:textId="77777777" w:rsidR="00AB46BD" w:rsidRDefault="00AB46BD" w:rsidP="00AB46BD">
      <w:r>
        <w:t>Since compensation marked the acceptance of the view that the institution of slavery had been legally and politically sanctioned by the state, and that the nation (British taxpayers) must bare the costs of the losses of slave owners, those erstwhile slave owners saw no reason to assume individual guilt for the part they’d played in maintaining the institution. Once Abolition was enacted, they joined the chorus celebrating Britain’s moral superiority, castigating other less progressive slave owning nations.</w:t>
      </w:r>
    </w:p>
    <w:p w14:paraId="0CF4DC44" w14:textId="77777777" w:rsidR="00AB46BD" w:rsidRDefault="00AB46BD" w:rsidP="00AB46BD">
      <w:r>
        <w:t xml:space="preserve">The absentee slave owners represented between 5-10% of British elite between the 1810s and 1860s. Many were linked in intricate networks of family and sociability. Unsurprisingly family has proved crucial to our research, with marriage and inheritance as key mechanism in the transmission of property. </w:t>
      </w:r>
    </w:p>
    <w:p w14:paraId="28B2D6ED" w14:textId="1AA7CBFA" w:rsidR="00AB46BD" w:rsidRDefault="00AB46BD" w:rsidP="00AB46BD">
      <w:r>
        <w:t xml:space="preserve">After emancipation, as Nick Draper has established, wealth continued to be generated – particularly in British Guiana, where owners successfully adapted to the new conditions of labour on their plantations. Many of the slave owners were not able to keep up with the sweeping changes in the British Economy associated with the explosion of overseas trade, the so-called swing to the East, the investment in the new colonies of white settlement, the consolidation of the city of London as the centre of Global Capital flows, the emergence of the joint-stock company, new systems of communication and the birth </w:t>
      </w:r>
      <w:r w:rsidR="00B772E2">
        <w:t xml:space="preserve">of </w:t>
      </w:r>
      <w:r>
        <w:t xml:space="preserve">the free trade </w:t>
      </w:r>
      <w:commentRangeStart w:id="3"/>
      <w:r>
        <w:t xml:space="preserve">nation </w:t>
      </w:r>
      <w:commentRangeEnd w:id="3"/>
      <w:r w:rsidR="00B772E2">
        <w:rPr>
          <w:rStyle w:val="CommentReference"/>
        </w:rPr>
        <w:commentReference w:id="3"/>
      </w:r>
      <w:r>
        <w:t>.</w:t>
      </w:r>
    </w:p>
    <w:p w14:paraId="6FEBFABE" w14:textId="397C4338" w:rsidR="00AB46BD" w:rsidRDefault="00AB46BD" w:rsidP="00AB46BD">
      <w:r>
        <w:t xml:space="preserve">But many others adapted to this </w:t>
      </w:r>
      <w:r w:rsidR="00B772E2">
        <w:t>new world order</w:t>
      </w:r>
      <w:r>
        <w:t xml:space="preserve">, selling their plantation – transferring human and financial capital generated in slavery, to the new industrial and commercial economy, </w:t>
      </w:r>
      <w:r w:rsidR="00B772E2">
        <w:t>contributing</w:t>
      </w:r>
      <w:r>
        <w:t xml:space="preserve"> significantly to merchant banking and the investment in marine insurance companies. The decline of </w:t>
      </w:r>
      <w:r>
        <w:lastRenderedPageBreak/>
        <w:t xml:space="preserve">British proprietorship in the </w:t>
      </w:r>
      <w:r w:rsidR="00B772E2">
        <w:t>West Indies</w:t>
      </w:r>
      <w:r>
        <w:t xml:space="preserve"> is thus a neglected aspect of the shift from the land to commerce and industry that was a feature of this </w:t>
      </w:r>
      <w:r w:rsidR="00B772E2">
        <w:t>mid-19</w:t>
      </w:r>
      <w:r w:rsidR="00B772E2" w:rsidRPr="00447E5E">
        <w:rPr>
          <w:vertAlign w:val="superscript"/>
        </w:rPr>
        <w:t>th</w:t>
      </w:r>
      <w:r>
        <w:t xml:space="preserve"> century period. </w:t>
      </w:r>
    </w:p>
    <w:p w14:paraId="4AFF3126" w14:textId="77777777" w:rsidR="00AB46BD" w:rsidRDefault="00AB46BD" w:rsidP="00AB46BD"/>
    <w:p w14:paraId="3B0D6ED3" w14:textId="6FF55268" w:rsidR="00AB46BD" w:rsidRDefault="00AB46BD" w:rsidP="00AB46BD">
      <w:r>
        <w:t>The abolition of Slavery meant a shift in the balance of empire. The British West Indies, especially Jamaica, once the ‘jewel in the crown’, became increasingly defined as problematic and unproductive. Attention shifted to India and ‘the East’, and to the new colonies of White settlement. Younger sons who had headed for the Caribbean, now found their opportunities in Australia, N</w:t>
      </w:r>
      <w:r w:rsidR="00B772E2">
        <w:t>ew Zealand</w:t>
      </w:r>
      <w:r>
        <w:t>, Canada, and S</w:t>
      </w:r>
      <w:r w:rsidR="00B772E2">
        <w:t>outh Africa.</w:t>
      </w:r>
    </w:p>
    <w:p w14:paraId="0D615D56" w14:textId="339E8608" w:rsidR="00AB46BD" w:rsidRDefault="00AB46BD" w:rsidP="00AB46BD">
      <w:r>
        <w:t xml:space="preserve">Henry Kingsley abandoned his family’s </w:t>
      </w:r>
      <w:r w:rsidR="00B772E2">
        <w:t>long-term</w:t>
      </w:r>
      <w:r>
        <w:t xml:space="preserve"> investments in Barbados, and chose New South Wales for his successful colonial careering. Compensation money flowed into new ventures, such as the Australian Agricultural Company, and the development of South Australia and British Columbia. The </w:t>
      </w:r>
      <w:r w:rsidR="00B772E2">
        <w:t>Caribbean</w:t>
      </w:r>
      <w:r>
        <w:t xml:space="preserve"> was no longer seen as a place to make a fortune and was neglected, </w:t>
      </w:r>
      <w:r w:rsidR="002704FB">
        <w:t>side-lined</w:t>
      </w:r>
      <w:r>
        <w:t xml:space="preserve"> in favour of more wealth producing </w:t>
      </w:r>
      <w:commentRangeStart w:id="4"/>
      <w:r>
        <w:t>colonies</w:t>
      </w:r>
      <w:commentRangeEnd w:id="4"/>
      <w:r w:rsidR="00B772E2">
        <w:rPr>
          <w:rStyle w:val="CommentReference"/>
        </w:rPr>
        <w:commentReference w:id="4"/>
      </w:r>
      <w:r>
        <w:t xml:space="preserve">. </w:t>
      </w:r>
    </w:p>
    <w:p w14:paraId="6B46670F" w14:textId="33E6CA5A" w:rsidR="00AB46BD" w:rsidRDefault="00AB46BD" w:rsidP="00AB46BD">
      <w:r>
        <w:t xml:space="preserve">Slavery was to be regretted and forgotten. Expunged in so far as was possible from public </w:t>
      </w:r>
      <w:commentRangeStart w:id="5"/>
      <w:r w:rsidR="00B772E2">
        <w:t>memory</w:t>
      </w:r>
      <w:commentRangeEnd w:id="5"/>
      <w:r w:rsidR="00B772E2">
        <w:rPr>
          <w:rStyle w:val="CommentReference"/>
        </w:rPr>
        <w:commentReference w:id="5"/>
      </w:r>
      <w:r>
        <w:t xml:space="preserve">. </w:t>
      </w:r>
    </w:p>
    <w:p w14:paraId="06EC9AD8" w14:textId="3EB99CBC" w:rsidR="00AB46BD" w:rsidRDefault="00AB46BD" w:rsidP="00AB46BD">
      <w:r>
        <w:t xml:space="preserve">After 1833, the </w:t>
      </w:r>
      <w:r w:rsidR="000432CE">
        <w:t>West Indians</w:t>
      </w:r>
      <w:r>
        <w:t xml:space="preserve"> were able to leave behind the identity of slave owner and fought to ensure their place in the reconfiguration of the ruling elite, which was part and parcel of the age of reform.</w:t>
      </w:r>
      <w:r w:rsidR="000432CE">
        <w:t xml:space="preserve"> Determinedly</w:t>
      </w:r>
      <w:r>
        <w:t xml:space="preserve"> not part of a residual formation in a time of </w:t>
      </w:r>
      <w:r w:rsidR="000432CE">
        <w:t>realignment</w:t>
      </w:r>
      <w:r>
        <w:t xml:space="preserve">, when emergent groupings were </w:t>
      </w:r>
      <w:r w:rsidR="000432CE">
        <w:t>claiming</w:t>
      </w:r>
      <w:r>
        <w:t xml:space="preserve"> dominance. They declared themselves as modern men. Part of the New </w:t>
      </w:r>
      <w:commentRangeStart w:id="6"/>
      <w:r w:rsidR="000432CE">
        <w:t>Order</w:t>
      </w:r>
      <w:commentRangeEnd w:id="6"/>
      <w:r w:rsidR="000432CE">
        <w:rPr>
          <w:rStyle w:val="CommentReference"/>
        </w:rPr>
        <w:commentReference w:id="6"/>
      </w:r>
      <w:r>
        <w:t>.</w:t>
      </w:r>
    </w:p>
    <w:p w14:paraId="31338E11" w14:textId="1F5EC9E2" w:rsidR="00AB46BD" w:rsidRDefault="00AB46BD" w:rsidP="00AB46BD">
      <w:r>
        <w:t xml:space="preserve">Between 1828 </w:t>
      </w:r>
      <w:r w:rsidR="000432CE">
        <w:t xml:space="preserve">- </w:t>
      </w:r>
      <w:r>
        <w:t>33, new rights for dissenters catholic emanc</w:t>
      </w:r>
      <w:r w:rsidR="000432CE">
        <w:t>ipation</w:t>
      </w:r>
      <w:r>
        <w:t>, parli</w:t>
      </w:r>
      <w:r w:rsidR="000432CE">
        <w:t>amentary</w:t>
      </w:r>
      <w:r>
        <w:t xml:space="preserve"> reform, and </w:t>
      </w:r>
      <w:r w:rsidR="000432CE">
        <w:t>C</w:t>
      </w:r>
      <w:r>
        <w:t xml:space="preserve">oercion </w:t>
      </w:r>
      <w:r w:rsidR="000432CE">
        <w:t>A</w:t>
      </w:r>
      <w:r>
        <w:t xml:space="preserve">ct for </w:t>
      </w:r>
      <w:r w:rsidR="000432CE">
        <w:t>Ireland</w:t>
      </w:r>
      <w:r>
        <w:t xml:space="preserve"> , the Abol</w:t>
      </w:r>
      <w:r w:rsidR="000432CE">
        <w:t>ition</w:t>
      </w:r>
      <w:r>
        <w:t xml:space="preserve"> of Slav</w:t>
      </w:r>
      <w:r w:rsidR="000432CE">
        <w:t>ery</w:t>
      </w:r>
      <w:r>
        <w:t xml:space="preserve"> and new forms of Government for India together marked a historic settlement across nations</w:t>
      </w:r>
      <w:r w:rsidR="000432CE">
        <w:t>.</w:t>
      </w:r>
      <w:r>
        <w:t xml:space="preserve"> </w:t>
      </w:r>
      <w:r w:rsidR="000432CE">
        <w:t>A</w:t>
      </w:r>
      <w:r>
        <w:t xml:space="preserve">nd thus a new </w:t>
      </w:r>
      <w:r w:rsidR="000432CE">
        <w:t>hegemony</w:t>
      </w:r>
      <w:r>
        <w:t xml:space="preserve"> was in process, dependent on the alliance between the landed aristocracy and sections of the middle class, committed to an expansion of </w:t>
      </w:r>
      <w:r w:rsidR="000432CE">
        <w:t>laissez</w:t>
      </w:r>
      <w:r>
        <w:t xml:space="preserve">-faire and a reforming state. Government was to be by </w:t>
      </w:r>
      <w:r w:rsidR="000432CE">
        <w:t>consent</w:t>
      </w:r>
      <w:r>
        <w:t xml:space="preserve"> if possible at home, reliant on force and dominion in the empire, including Ireland.</w:t>
      </w:r>
    </w:p>
    <w:p w14:paraId="21DDEE15" w14:textId="1513915A" w:rsidR="00AB46BD" w:rsidRDefault="00AB46BD" w:rsidP="00AB46BD">
      <w:r>
        <w:t xml:space="preserve">In the metropole public </w:t>
      </w:r>
      <w:r w:rsidR="000432CE">
        <w:t>opinion</w:t>
      </w:r>
      <w:r>
        <w:t xml:space="preserve"> had an increased weight, with the power of the press increasingly rapidly and more meritocratic systems of appointment, began to slowly displace the patronage that had operated for generations. Slave owners and their descendants were more likely to be </w:t>
      </w:r>
      <w:r w:rsidR="0019090E">
        <w:t>Tories</w:t>
      </w:r>
      <w:r>
        <w:t xml:space="preserve"> than Whigs, but they belonged to the elite that affected these changes and sometime benefited from them. </w:t>
      </w:r>
    </w:p>
    <w:p w14:paraId="5A034F2E" w14:textId="2E8CFA58" w:rsidR="00AB46BD" w:rsidRDefault="00AB46BD" w:rsidP="00AB46BD">
      <w:r>
        <w:t xml:space="preserve">William and Henry </w:t>
      </w:r>
      <w:r w:rsidR="00600C01">
        <w:t>Goulburn</w:t>
      </w:r>
      <w:r>
        <w:t xml:space="preserve"> in</w:t>
      </w:r>
      <w:r w:rsidR="000432CE">
        <w:t xml:space="preserve"> the</w:t>
      </w:r>
      <w:r>
        <w:t xml:space="preserve"> House of Commons, Charles Trevelyan in the expanding Colonial Civil Service, Cardinal Manning in the resurgent Catholic Church, Captain Frederic Ma</w:t>
      </w:r>
      <w:r w:rsidR="009E3419">
        <w:t>r</w:t>
      </w:r>
      <w:r>
        <w:t xml:space="preserve">riot and Charles Kingsley – authors who were amongst the first generation who were able to make a substantial income from writing – were just some of the former slave owners or descendants who established themselves as influential men in the reconfigured public </w:t>
      </w:r>
      <w:commentRangeStart w:id="7"/>
      <w:r w:rsidR="0019090E">
        <w:t>world</w:t>
      </w:r>
      <w:commentRangeEnd w:id="7"/>
      <w:r w:rsidR="0019090E">
        <w:rPr>
          <w:rStyle w:val="CommentReference"/>
        </w:rPr>
        <w:commentReference w:id="7"/>
      </w:r>
      <w:r>
        <w:t xml:space="preserve">. </w:t>
      </w:r>
    </w:p>
    <w:p w14:paraId="4C01705A" w14:textId="702977D1" w:rsidR="00AB46BD" w:rsidRDefault="00AB46BD" w:rsidP="00AB46BD">
      <w:r>
        <w:t xml:space="preserve">At the same time as Keith </w:t>
      </w:r>
      <w:r w:rsidR="0019090E">
        <w:t>McLellan</w:t>
      </w:r>
      <w:r>
        <w:t xml:space="preserve"> has demonstrated, those members of the W</w:t>
      </w:r>
      <w:r w:rsidR="0019090E">
        <w:t xml:space="preserve">est </w:t>
      </w:r>
      <w:r>
        <w:t>I</w:t>
      </w:r>
      <w:r w:rsidR="0019090E">
        <w:t>ndian</w:t>
      </w:r>
      <w:r>
        <w:t xml:space="preserve"> interest who remained in parliament, fought hard on the issues of apprenticeship, the retention of </w:t>
      </w:r>
      <w:r w:rsidR="000F284A">
        <w:t>protection</w:t>
      </w:r>
      <w:r>
        <w:t xml:space="preserve"> of West Indian sugar, and the introduction of indenture. They lost on the first two, though they were able to delay the equalisation </w:t>
      </w:r>
      <w:r w:rsidR="000F284A">
        <w:t>of</w:t>
      </w:r>
      <w:r>
        <w:t xml:space="preserve"> duties for a significant period. They were successful however in representing labour as the problem at the heart of the economic and social issues in the </w:t>
      </w:r>
      <w:r w:rsidR="000F284A">
        <w:t>Caribbean</w:t>
      </w:r>
      <w:r>
        <w:t xml:space="preserve">. And indeed in representing themselves as the victims of economic </w:t>
      </w:r>
      <w:commentRangeStart w:id="8"/>
      <w:r>
        <w:t>decline</w:t>
      </w:r>
      <w:commentRangeEnd w:id="8"/>
      <w:r w:rsidR="000F284A">
        <w:rPr>
          <w:rStyle w:val="CommentReference"/>
        </w:rPr>
        <w:commentReference w:id="8"/>
      </w:r>
      <w:r>
        <w:t xml:space="preserve">. </w:t>
      </w:r>
    </w:p>
    <w:p w14:paraId="6E4001F6" w14:textId="404576D8" w:rsidR="00AB46BD" w:rsidRDefault="00AB46BD" w:rsidP="00AB46BD">
      <w:r>
        <w:lastRenderedPageBreak/>
        <w:t>Some of the slave owners, most notably John Gladstone – William’s father, had seen the writing on the wall and had started to reorganise their estates before 133. Gl</w:t>
      </w:r>
      <w:r w:rsidR="000F284A">
        <w:t>adstone</w:t>
      </w:r>
      <w:r>
        <w:t xml:space="preserve">‘s </w:t>
      </w:r>
      <w:r w:rsidR="000F284A">
        <w:t>efforts</w:t>
      </w:r>
      <w:r>
        <w:t xml:space="preserve"> to </w:t>
      </w:r>
      <w:r w:rsidR="000F284A">
        <w:t>inaugurate</w:t>
      </w:r>
      <w:r>
        <w:t xml:space="preserve"> the use of Indian indentured labour on hi</w:t>
      </w:r>
      <w:r w:rsidR="000F284A">
        <w:t>s</w:t>
      </w:r>
      <w:r>
        <w:t xml:space="preserve"> Guyanese plantation had limited success in t</w:t>
      </w:r>
      <w:r w:rsidR="000F284A">
        <w:t xml:space="preserve">he </w:t>
      </w:r>
      <w:r>
        <w:t xml:space="preserve">1820s but were to provide one of the basis for the </w:t>
      </w:r>
      <w:r w:rsidR="000F284A">
        <w:t>large</w:t>
      </w:r>
      <w:r>
        <w:t xml:space="preserve"> scale </w:t>
      </w:r>
      <w:r w:rsidR="000F284A">
        <w:t>adoption</w:t>
      </w:r>
      <w:r>
        <w:t xml:space="preserve"> of the system by the 1840s. The former slave owners insistence on the need for new labour was a k</w:t>
      </w:r>
      <w:r w:rsidR="000F284A">
        <w:t>e</w:t>
      </w:r>
      <w:r>
        <w:t xml:space="preserve">y factor in the institutionalisation of new forms of coerced labour in the empire. </w:t>
      </w:r>
      <w:r w:rsidR="000F284A">
        <w:t>F</w:t>
      </w:r>
      <w:r>
        <w:t xml:space="preserve">acilitated by the liberal state which was also busy regulating labour at home through the new poor law and factory </w:t>
      </w:r>
      <w:commentRangeStart w:id="9"/>
      <w:r>
        <w:t>acts</w:t>
      </w:r>
      <w:commentRangeEnd w:id="9"/>
      <w:r w:rsidR="000F284A">
        <w:rPr>
          <w:rStyle w:val="CommentReference"/>
        </w:rPr>
        <w:commentReference w:id="9"/>
      </w:r>
      <w:r>
        <w:t xml:space="preserve">. </w:t>
      </w:r>
    </w:p>
    <w:p w14:paraId="28982F55" w14:textId="706CBFED" w:rsidR="00AB46BD" w:rsidRDefault="00AB46BD" w:rsidP="00AB46BD">
      <w:r>
        <w:t xml:space="preserve">Slave owners and their descendants were also active agents in the remaking of race as a hierarchical category. Once slavery no longer fixed the African as inferior, other legitimations for his or her subordination had to be found. In the debates over race in the </w:t>
      </w:r>
      <w:commentRangeStart w:id="10"/>
      <w:r w:rsidR="000F284A">
        <w:t>mid-19</w:t>
      </w:r>
      <w:r w:rsidR="000F284A" w:rsidRPr="00086452">
        <w:rPr>
          <w:vertAlign w:val="superscript"/>
        </w:rPr>
        <w:t>th</w:t>
      </w:r>
      <w:r>
        <w:t xml:space="preserve"> century </w:t>
      </w:r>
      <w:commentRangeEnd w:id="10"/>
      <w:r w:rsidR="000F284A">
        <w:rPr>
          <w:rStyle w:val="CommentReference"/>
        </w:rPr>
        <w:commentReference w:id="10"/>
      </w:r>
      <w:r>
        <w:t>and the shift from the ascendancy of abolitionist humanitarian discourse to a harsher version of stadial theory, envisioning the civilizational process as glacially slow</w:t>
      </w:r>
      <w:r w:rsidR="000F284A">
        <w:t>.</w:t>
      </w:r>
      <w:r>
        <w:t xml:space="preserve"> </w:t>
      </w:r>
      <w:r w:rsidR="000F284A">
        <w:t>H</w:t>
      </w:r>
      <w:r>
        <w:t>istorians</w:t>
      </w:r>
      <w:r w:rsidR="000F284A">
        <w:t>,</w:t>
      </w:r>
      <w:r>
        <w:t xml:space="preserve"> novelists and travel writers with slave owning origins played a significant part. They </w:t>
      </w:r>
      <w:r w:rsidR="000F284A">
        <w:t>u</w:t>
      </w:r>
      <w:r>
        <w:t xml:space="preserve">tilised their eye witness experience to make claims as to the veracity of their claims of racial </w:t>
      </w:r>
      <w:commentRangeStart w:id="11"/>
      <w:r w:rsidR="000F284A">
        <w:t>difference</w:t>
      </w:r>
      <w:commentRangeEnd w:id="11"/>
      <w:r w:rsidR="000F284A">
        <w:rPr>
          <w:rStyle w:val="CommentReference"/>
        </w:rPr>
        <w:commentReference w:id="11"/>
      </w:r>
      <w:r>
        <w:t xml:space="preserve">. In the process they also rewrote in the process of British involvement in colonial </w:t>
      </w:r>
      <w:commentRangeStart w:id="12"/>
      <w:r>
        <w:t>slavery</w:t>
      </w:r>
      <w:commentRangeEnd w:id="12"/>
      <w:r w:rsidR="000F284A">
        <w:rPr>
          <w:rStyle w:val="CommentReference"/>
        </w:rPr>
        <w:commentReference w:id="12"/>
      </w:r>
      <w:r>
        <w:t xml:space="preserve">. </w:t>
      </w:r>
    </w:p>
    <w:p w14:paraId="715C982F" w14:textId="77777777" w:rsidR="00AB46BD" w:rsidRDefault="00AB46BD" w:rsidP="00AB46BD"/>
    <w:p w14:paraId="084727C8" w14:textId="77777777" w:rsidR="00AB46BD" w:rsidRDefault="00AB46BD" w:rsidP="00AB46BD">
      <w:r>
        <w:t>….</w:t>
      </w:r>
    </w:p>
    <w:p w14:paraId="2CCDDBEE" w14:textId="77777777" w:rsidR="00AB46BD" w:rsidRDefault="00AB46BD" w:rsidP="00AB46BD">
      <w:r>
        <w:t>48 minutes 3 seconds – 50:30.</w:t>
      </w:r>
    </w:p>
    <w:p w14:paraId="707AFCBE" w14:textId="77777777" w:rsidR="00AB46BD" w:rsidRDefault="00AB46BD" w:rsidP="00AB46BD">
      <w:r>
        <w:t xml:space="preserve">They [Slave Owners] defended slavery until the last possible moment, and then adapted to the new times. Slavery might be dead and forgotten, but racial hierarchies lived on. </w:t>
      </w:r>
    </w:p>
    <w:p w14:paraId="393F0993" w14:textId="77777777" w:rsidR="00AB46BD" w:rsidRDefault="00AB46BD" w:rsidP="00AB46BD">
      <w:r>
        <w:t xml:space="preserve">This is the history we share – descendants of slave owners and of enslaved person. This is the new past we are aiming for. A past which rein scribes slavery and slave ownership in British history and refcognises its legacies in the present. </w:t>
      </w:r>
    </w:p>
    <w:p w14:paraId="4FA1898C" w14:textId="37185772" w:rsidR="00EE77D7" w:rsidRDefault="00EE77D7"/>
    <w:p w14:paraId="3BDF7B58" w14:textId="078BAB06" w:rsidR="00800BEA" w:rsidRDefault="00800BEA"/>
    <w:p w14:paraId="142CC6AC" w14:textId="2BD2A3D3" w:rsidR="00800BEA" w:rsidRDefault="00800BEA">
      <w:r>
        <w:t>Key Questions</w:t>
      </w:r>
    </w:p>
    <w:p w14:paraId="1ED8B490" w14:textId="7A93B9B9" w:rsidR="009A6FAF" w:rsidRDefault="009A6FAF"/>
    <w:p w14:paraId="1048DE01" w14:textId="6B1A6B6A" w:rsidR="009A6FAF" w:rsidRDefault="009A6FAF" w:rsidP="006100AC">
      <w:pPr>
        <w:pStyle w:val="ListParagraph"/>
        <w:numPr>
          <w:ilvl w:val="0"/>
          <w:numId w:val="2"/>
        </w:numPr>
      </w:pPr>
      <w:r>
        <w:t>How is Hall arguing there was both change and continuity after 1833 and for who?</w:t>
      </w:r>
    </w:p>
    <w:p w14:paraId="6F97A310" w14:textId="570FB863" w:rsidR="009A6FAF" w:rsidRDefault="009A6FAF" w:rsidP="006100AC">
      <w:pPr>
        <w:pStyle w:val="ListParagraph"/>
        <w:numPr>
          <w:ilvl w:val="0"/>
          <w:numId w:val="2"/>
        </w:numPr>
      </w:pPr>
      <w:r>
        <w:t xml:space="preserve">What role </w:t>
      </w:r>
      <w:r w:rsidR="006100AC">
        <w:t>does Hall suggest slave owners and their descendants played in the writing of the history of British Slavery?</w:t>
      </w:r>
    </w:p>
    <w:sectPr w:rsidR="009A6FAF">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Nathanael Arnott-Davies" w:date="2019-08-29T19:01:00Z" w:initials="NA">
    <w:p w14:paraId="1851599E" w14:textId="77777777" w:rsidR="004163DA" w:rsidRDefault="004163DA" w:rsidP="004163DA">
      <w:pPr>
        <w:pStyle w:val="ListParagraph"/>
        <w:ind w:left="0"/>
      </w:pPr>
      <w:r>
        <w:rPr>
          <w:rStyle w:val="CommentReference"/>
        </w:rPr>
        <w:annotationRef/>
      </w:r>
      <w:r>
        <w:t>Upon what does Hall focus her study upon (i.e. who and where) ?</w:t>
      </w:r>
    </w:p>
    <w:p w14:paraId="30976C21" w14:textId="3C1BF9F7" w:rsidR="004163DA" w:rsidRDefault="004163DA">
      <w:pPr>
        <w:pStyle w:val="CommentText"/>
      </w:pPr>
    </w:p>
  </w:comment>
  <w:comment w:id="2" w:author="Nathanael Arnott-Davies" w:date="2019-08-29T19:02:00Z" w:initials="NA">
    <w:p w14:paraId="03E7B08F" w14:textId="66DF21A7" w:rsidR="004163DA" w:rsidRDefault="004163DA">
      <w:pPr>
        <w:pStyle w:val="CommentText"/>
      </w:pPr>
      <w:r>
        <w:rPr>
          <w:rStyle w:val="CommentReference"/>
        </w:rPr>
        <w:annotationRef/>
      </w:r>
      <w:r>
        <w:t xml:space="preserve">Is Hall </w:t>
      </w:r>
      <w:r w:rsidR="00B772E2">
        <w:t xml:space="preserve">here </w:t>
      </w:r>
      <w:r>
        <w:t>arguing there was change or continuity after 1833? How and for who?</w:t>
      </w:r>
    </w:p>
  </w:comment>
  <w:comment w:id="3" w:author="Nathanael Arnott-Davies" w:date="2019-08-29T19:03:00Z" w:initials="NA">
    <w:p w14:paraId="2DFAA654" w14:textId="3BF0988C" w:rsidR="00B772E2" w:rsidRDefault="00B772E2" w:rsidP="00B772E2">
      <w:pPr>
        <w:pStyle w:val="CommentText"/>
      </w:pPr>
      <w:r>
        <w:rPr>
          <w:rStyle w:val="CommentReference"/>
        </w:rPr>
        <w:annotationRef/>
      </w:r>
      <w:r>
        <w:rPr>
          <w:rStyle w:val="CommentReference"/>
        </w:rPr>
        <w:annotationRef/>
      </w:r>
      <w:r>
        <w:t xml:space="preserve">Is Hall </w:t>
      </w:r>
      <w:r>
        <w:t xml:space="preserve">here </w:t>
      </w:r>
      <w:r>
        <w:t>arguing there was change or continuity after 1833? How and for who?</w:t>
      </w:r>
    </w:p>
    <w:p w14:paraId="191AE2FB" w14:textId="37826C75" w:rsidR="00B772E2" w:rsidRDefault="00B772E2">
      <w:pPr>
        <w:pStyle w:val="CommentText"/>
      </w:pPr>
    </w:p>
  </w:comment>
  <w:comment w:id="4" w:author="Nathanael Arnott-Davies" w:date="2019-08-29T19:05:00Z" w:initials="NA">
    <w:p w14:paraId="6B4BF10A" w14:textId="77777777" w:rsidR="00B772E2" w:rsidRDefault="00B772E2" w:rsidP="00B772E2">
      <w:pPr>
        <w:pStyle w:val="CommentText"/>
      </w:pPr>
      <w:r>
        <w:rPr>
          <w:rStyle w:val="CommentReference"/>
        </w:rPr>
        <w:annotationRef/>
      </w:r>
      <w:r>
        <w:rPr>
          <w:rStyle w:val="CommentReference"/>
        </w:rPr>
        <w:annotationRef/>
      </w:r>
      <w:r>
        <w:rPr>
          <w:rStyle w:val="CommentReference"/>
        </w:rPr>
        <w:annotationRef/>
      </w:r>
      <w:r>
        <w:t>Is Hall here arguing there was change or continuity after 1833? How and for who?</w:t>
      </w:r>
    </w:p>
    <w:p w14:paraId="12C0381E" w14:textId="7335A01A" w:rsidR="00B772E2" w:rsidRDefault="00B772E2">
      <w:pPr>
        <w:pStyle w:val="CommentText"/>
      </w:pPr>
    </w:p>
  </w:comment>
  <w:comment w:id="5" w:author="Nathanael Arnott-Davies" w:date="2019-08-29T19:05:00Z" w:initials="NA">
    <w:p w14:paraId="37EDBFF4" w14:textId="31697547" w:rsidR="00B772E2" w:rsidRDefault="00B772E2">
      <w:pPr>
        <w:pStyle w:val="CommentText"/>
      </w:pPr>
      <w:r>
        <w:rPr>
          <w:rStyle w:val="CommentReference"/>
        </w:rPr>
        <w:annotationRef/>
      </w:r>
      <w:r>
        <w:t>What impact could that have had upon</w:t>
      </w:r>
      <w:r w:rsidR="004674FA">
        <w:t xml:space="preserve"> historians of the period? </w:t>
      </w:r>
    </w:p>
  </w:comment>
  <w:comment w:id="6" w:author="Nathanael Arnott-Davies" w:date="2019-08-29T19:07:00Z" w:initials="NA">
    <w:p w14:paraId="6BF9383E" w14:textId="77777777" w:rsidR="000432CE" w:rsidRDefault="000432CE" w:rsidP="000432CE">
      <w:pPr>
        <w:pStyle w:val="CommentText"/>
      </w:pPr>
      <w:r>
        <w:rPr>
          <w:rStyle w:val="CommentReference"/>
        </w:rPr>
        <w:annotationRef/>
      </w:r>
      <w:r>
        <w:rPr>
          <w:rStyle w:val="CommentReference"/>
        </w:rPr>
        <w:annotationRef/>
      </w:r>
      <w:r>
        <w:rPr>
          <w:rStyle w:val="CommentReference"/>
        </w:rPr>
        <w:annotationRef/>
      </w:r>
      <w:r>
        <w:t>Is Hall here arguing there was change or continuity after 1833? How and for who?</w:t>
      </w:r>
    </w:p>
    <w:p w14:paraId="71BEA28C" w14:textId="396ED54A" w:rsidR="000432CE" w:rsidRDefault="000432CE">
      <w:pPr>
        <w:pStyle w:val="CommentText"/>
      </w:pPr>
    </w:p>
  </w:comment>
  <w:comment w:id="7" w:author="Nathanael Arnott-Davies" w:date="2019-08-29T19:10:00Z" w:initials="NA">
    <w:p w14:paraId="716CBD76" w14:textId="32767F78" w:rsidR="0019090E" w:rsidRDefault="0019090E">
      <w:pPr>
        <w:pStyle w:val="CommentText"/>
      </w:pPr>
      <w:r>
        <w:rPr>
          <w:rStyle w:val="CommentReference"/>
        </w:rPr>
        <w:annotationRef/>
      </w:r>
      <w:r>
        <w:rPr>
          <w:rStyle w:val="CommentReference"/>
        </w:rPr>
        <w:annotationRef/>
      </w:r>
      <w:r>
        <w:rPr>
          <w:rStyle w:val="CommentReference"/>
        </w:rPr>
        <w:annotationRef/>
      </w:r>
      <w:r>
        <w:rPr>
          <w:rStyle w:val="CommentReference"/>
        </w:rPr>
        <w:annotationRef/>
      </w:r>
      <w:r>
        <w:t>Is Hall here arguing there was change or continuity after 1833? How and for who?</w:t>
      </w:r>
    </w:p>
  </w:comment>
  <w:comment w:id="8" w:author="Nathanael Arnott-Davies" w:date="2019-08-29T19:11:00Z" w:initials="NA">
    <w:p w14:paraId="2DEF970D" w14:textId="77777777" w:rsidR="000F284A" w:rsidRDefault="000F284A" w:rsidP="000F284A">
      <w:pPr>
        <w:pStyle w:val="CommentText"/>
      </w:pPr>
      <w:r>
        <w:rPr>
          <w:rStyle w:val="CommentReference"/>
        </w:rPr>
        <w:annotationRef/>
      </w:r>
      <w:r>
        <w:rPr>
          <w:rStyle w:val="CommentReference"/>
        </w:rPr>
        <w:annotationRef/>
      </w:r>
      <w:r>
        <w:rPr>
          <w:rStyle w:val="CommentReference"/>
        </w:rPr>
        <w:annotationRef/>
      </w:r>
      <w:r>
        <w:rPr>
          <w:rStyle w:val="CommentReference"/>
        </w:rPr>
        <w:annotationRef/>
      </w:r>
      <w:r>
        <w:t>Is Hall here arguing there was change or continuity after 1833? How and for who?</w:t>
      </w:r>
    </w:p>
    <w:p w14:paraId="01E68A36" w14:textId="0450E1B5" w:rsidR="000F284A" w:rsidRDefault="000F284A">
      <w:pPr>
        <w:pStyle w:val="CommentText"/>
      </w:pPr>
    </w:p>
  </w:comment>
  <w:comment w:id="9" w:author="Nathanael Arnott-Davies" w:date="2019-08-29T19:12:00Z" w:initials="NA">
    <w:p w14:paraId="47609284" w14:textId="77777777" w:rsidR="000F284A" w:rsidRDefault="000F284A" w:rsidP="000F284A">
      <w:pPr>
        <w:pStyle w:val="CommentText"/>
      </w:pPr>
      <w:r>
        <w:rPr>
          <w:rStyle w:val="CommentReference"/>
        </w:rPr>
        <w:annotationRef/>
      </w:r>
      <w:r>
        <w:rPr>
          <w:rStyle w:val="CommentReference"/>
        </w:rPr>
        <w:annotationRef/>
      </w:r>
      <w:r>
        <w:rPr>
          <w:rStyle w:val="CommentReference"/>
        </w:rPr>
        <w:annotationRef/>
      </w:r>
      <w:r>
        <w:rPr>
          <w:rStyle w:val="CommentReference"/>
        </w:rPr>
        <w:annotationRef/>
      </w:r>
      <w:r>
        <w:t>Is Hall here arguing there was change or continuity after 1833? How and for who?</w:t>
      </w:r>
    </w:p>
    <w:p w14:paraId="43ED0154" w14:textId="7658CA94" w:rsidR="000F284A" w:rsidRDefault="000F284A">
      <w:pPr>
        <w:pStyle w:val="CommentText"/>
      </w:pPr>
    </w:p>
  </w:comment>
  <w:comment w:id="10" w:author="Nathanael Arnott-Davies" w:date="2019-08-29T19:12:00Z" w:initials="NA">
    <w:p w14:paraId="524117C9" w14:textId="500CFB2A" w:rsidR="000F284A" w:rsidRDefault="000F284A">
      <w:pPr>
        <w:pStyle w:val="CommentText"/>
      </w:pPr>
      <w:r>
        <w:rPr>
          <w:rStyle w:val="CommentReference"/>
        </w:rPr>
        <w:annotationRef/>
      </w:r>
      <w:r>
        <w:t>What could Hall be referring to?</w:t>
      </w:r>
    </w:p>
  </w:comment>
  <w:comment w:id="11" w:author="Nathanael Arnott-Davies" w:date="2019-08-29T19:13:00Z" w:initials="NA">
    <w:p w14:paraId="170BD731" w14:textId="117C8C83" w:rsidR="000F284A" w:rsidRDefault="000F284A">
      <w:pPr>
        <w:pStyle w:val="CommentText"/>
      </w:pPr>
      <w:r>
        <w:rPr>
          <w:rStyle w:val="CommentReference"/>
        </w:rPr>
        <w:annotationRef/>
      </w:r>
      <w:r>
        <w:rPr>
          <w:rStyle w:val="CommentReference"/>
        </w:rPr>
        <w:annotationRef/>
      </w:r>
      <w:r>
        <w:rPr>
          <w:rStyle w:val="CommentReference"/>
        </w:rPr>
        <w:annotationRef/>
      </w:r>
      <w:r>
        <w:rPr>
          <w:rStyle w:val="CommentReference"/>
        </w:rPr>
        <w:annotationRef/>
      </w:r>
      <w:r>
        <w:t>Is Hall here arguing there was change or continuity after 1833? How and for who?</w:t>
      </w:r>
    </w:p>
  </w:comment>
  <w:comment w:id="12" w:author="Nathanael Arnott-Davies" w:date="2019-08-29T19:13:00Z" w:initials="NA">
    <w:p w14:paraId="72273F39" w14:textId="38BCC470" w:rsidR="000F284A" w:rsidRDefault="000F284A">
      <w:pPr>
        <w:pStyle w:val="CommentText"/>
      </w:pPr>
      <w:r>
        <w:rPr>
          <w:rStyle w:val="CommentReference"/>
        </w:rPr>
        <w:annotationRef/>
      </w:r>
      <w:r w:rsidR="0005184C">
        <w:t>How could this have impacted future historiography or popular understandings of British Slavery?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0976C21" w15:done="0"/>
  <w15:commentEx w15:paraId="03E7B08F" w15:done="0"/>
  <w15:commentEx w15:paraId="191AE2FB" w15:done="0"/>
  <w15:commentEx w15:paraId="12C0381E" w15:done="0"/>
  <w15:commentEx w15:paraId="37EDBFF4" w15:done="0"/>
  <w15:commentEx w15:paraId="71BEA28C" w15:done="0"/>
  <w15:commentEx w15:paraId="716CBD76" w15:done="0"/>
  <w15:commentEx w15:paraId="01E68A36" w15:done="0"/>
  <w15:commentEx w15:paraId="43ED0154" w15:done="0"/>
  <w15:commentEx w15:paraId="524117C9" w15:done="0"/>
  <w15:commentEx w15:paraId="170BD731" w15:done="0"/>
  <w15:commentEx w15:paraId="72273F3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0976C21" w16cid:durableId="21129FA1"/>
  <w16cid:commentId w16cid:paraId="03E7B08F" w16cid:durableId="21129FB7"/>
  <w16cid:commentId w16cid:paraId="191AE2FB" w16cid:durableId="21129FF5"/>
  <w16cid:commentId w16cid:paraId="12C0381E" w16cid:durableId="2112A080"/>
  <w16cid:commentId w16cid:paraId="37EDBFF4" w16cid:durableId="2112A08F"/>
  <w16cid:commentId w16cid:paraId="71BEA28C" w16cid:durableId="2112A0DA"/>
  <w16cid:commentId w16cid:paraId="716CBD76" w16cid:durableId="2112A1A7"/>
  <w16cid:commentId w16cid:paraId="01E68A36" w16cid:durableId="2112A1D9"/>
  <w16cid:commentId w16cid:paraId="43ED0154" w16cid:durableId="2112A20C"/>
  <w16cid:commentId w16cid:paraId="524117C9" w16cid:durableId="2112A221"/>
  <w16cid:commentId w16cid:paraId="170BD731" w16cid:durableId="2112A251"/>
  <w16cid:commentId w16cid:paraId="72273F39" w16cid:durableId="2112A25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214F32"/>
    <w:multiLevelType w:val="hybridMultilevel"/>
    <w:tmpl w:val="CDD4C4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C2935DE"/>
    <w:multiLevelType w:val="hybridMultilevel"/>
    <w:tmpl w:val="85DCAA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Nathanael Arnott-Davies">
    <w15:presenceInfo w15:providerId="Windows Live" w15:userId="fcec341024a391c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6BD"/>
    <w:rsid w:val="000432CE"/>
    <w:rsid w:val="0005184C"/>
    <w:rsid w:val="000F284A"/>
    <w:rsid w:val="00117161"/>
    <w:rsid w:val="0019090E"/>
    <w:rsid w:val="001A568C"/>
    <w:rsid w:val="002704FB"/>
    <w:rsid w:val="004163DA"/>
    <w:rsid w:val="004674FA"/>
    <w:rsid w:val="00600C01"/>
    <w:rsid w:val="006100AC"/>
    <w:rsid w:val="006F48F2"/>
    <w:rsid w:val="00800BEA"/>
    <w:rsid w:val="009A6FAF"/>
    <w:rsid w:val="009E3419"/>
    <w:rsid w:val="00A1795D"/>
    <w:rsid w:val="00AB46BD"/>
    <w:rsid w:val="00B772E2"/>
    <w:rsid w:val="00EE77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13C07A"/>
  <w15:chartTrackingRefBased/>
  <w15:docId w15:val="{2DFC52B3-52AF-4343-9B76-85F8DE363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6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AB46BD"/>
    <w:rPr>
      <w:color w:val="0000FF"/>
      <w:u w:val="single"/>
    </w:rPr>
  </w:style>
  <w:style w:type="character" w:styleId="CommentReference">
    <w:name w:val="annotation reference"/>
    <w:basedOn w:val="DefaultParagraphFont"/>
    <w:uiPriority w:val="99"/>
    <w:semiHidden/>
    <w:unhideWhenUsed/>
    <w:rsid w:val="004163DA"/>
    <w:rPr>
      <w:sz w:val="16"/>
      <w:szCs w:val="16"/>
    </w:rPr>
  </w:style>
  <w:style w:type="paragraph" w:styleId="CommentText">
    <w:name w:val="annotation text"/>
    <w:basedOn w:val="Normal"/>
    <w:link w:val="CommentTextChar"/>
    <w:uiPriority w:val="99"/>
    <w:semiHidden/>
    <w:unhideWhenUsed/>
    <w:rsid w:val="004163DA"/>
    <w:pPr>
      <w:spacing w:line="240" w:lineRule="auto"/>
    </w:pPr>
    <w:rPr>
      <w:sz w:val="20"/>
      <w:szCs w:val="20"/>
    </w:rPr>
  </w:style>
  <w:style w:type="character" w:customStyle="1" w:styleId="CommentTextChar">
    <w:name w:val="Comment Text Char"/>
    <w:basedOn w:val="DefaultParagraphFont"/>
    <w:link w:val="CommentText"/>
    <w:uiPriority w:val="99"/>
    <w:semiHidden/>
    <w:rsid w:val="004163DA"/>
    <w:rPr>
      <w:sz w:val="20"/>
      <w:szCs w:val="20"/>
    </w:rPr>
  </w:style>
  <w:style w:type="paragraph" w:styleId="CommentSubject">
    <w:name w:val="annotation subject"/>
    <w:basedOn w:val="CommentText"/>
    <w:next w:val="CommentText"/>
    <w:link w:val="CommentSubjectChar"/>
    <w:uiPriority w:val="99"/>
    <w:semiHidden/>
    <w:unhideWhenUsed/>
    <w:rsid w:val="004163DA"/>
    <w:rPr>
      <w:b/>
      <w:bCs/>
    </w:rPr>
  </w:style>
  <w:style w:type="character" w:customStyle="1" w:styleId="CommentSubjectChar">
    <w:name w:val="Comment Subject Char"/>
    <w:basedOn w:val="CommentTextChar"/>
    <w:link w:val="CommentSubject"/>
    <w:uiPriority w:val="99"/>
    <w:semiHidden/>
    <w:rsid w:val="004163DA"/>
    <w:rPr>
      <w:b/>
      <w:bCs/>
      <w:sz w:val="20"/>
      <w:szCs w:val="20"/>
    </w:rPr>
  </w:style>
  <w:style w:type="paragraph" w:styleId="BalloonText">
    <w:name w:val="Balloon Text"/>
    <w:basedOn w:val="Normal"/>
    <w:link w:val="BalloonTextChar"/>
    <w:uiPriority w:val="99"/>
    <w:semiHidden/>
    <w:unhideWhenUsed/>
    <w:rsid w:val="004163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63DA"/>
    <w:rPr>
      <w:rFonts w:ascii="Segoe UI" w:hAnsi="Segoe UI" w:cs="Segoe UI"/>
      <w:sz w:val="18"/>
      <w:szCs w:val="18"/>
    </w:rPr>
  </w:style>
  <w:style w:type="paragraph" w:styleId="ListParagraph">
    <w:name w:val="List Paragraph"/>
    <w:basedOn w:val="Normal"/>
    <w:uiPriority w:val="34"/>
    <w:qFormat/>
    <w:rsid w:val="004163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ettings" Target="settings.xml"/><Relationship Id="rId7" Type="http://schemas.microsoft.com/office/2011/relationships/commentsExtended" Target="commentsExtended.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11" Type="http://schemas.openxmlformats.org/officeDocument/2006/relationships/theme" Target="theme/theme1.xml"/><Relationship Id="rId5" Type="http://schemas.openxmlformats.org/officeDocument/2006/relationships/hyperlink" Target="https://www.youtube.com/watch?v=WtyATuC_fXw" TargetMode="Externa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1292</Words>
  <Characters>7371</Characters>
  <Application>Microsoft Office Word</Application>
  <DocSecurity>0</DocSecurity>
  <Lines>61</Lines>
  <Paragraphs>17</Paragraphs>
  <ScaleCrop>false</ScaleCrop>
  <Company/>
  <LinksUpToDate>false</LinksUpToDate>
  <CharactersWithSpaces>8646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Nathanael Arnott-Davies</dc:creator>
  <cp:keywords/>
  <dc:description/>
  <cp:lastModifiedBy>Nathanael Arnott-Davies</cp:lastModifiedBy>
  <cp:revision>18</cp:revision>
  <dcterms:created xsi:type="dcterms:W3CDTF">2019-08-29T17:59:00Z</dcterms:created>
  <dcterms:modified xsi:type="dcterms:W3CDTF">2019-08-29T18:28:00Z</dcterms:modified>
</cp:coreProperties>
</file>